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AA" w:rsidRDefault="00412DAA" w:rsidP="008B064B">
      <w:pPr>
        <w:jc w:val="center"/>
        <w:rPr>
          <w:b/>
          <w:sz w:val="16"/>
        </w:rPr>
      </w:pPr>
      <w:bookmarkStart w:id="0" w:name="_GoBack"/>
      <w:bookmarkEnd w:id="0"/>
    </w:p>
    <w:p w:rsidR="00412DAA" w:rsidRDefault="00412DAA" w:rsidP="00412DAA">
      <w:pPr>
        <w:jc w:val="center"/>
        <w:rPr>
          <w:b/>
          <w:sz w:val="16"/>
        </w:rPr>
      </w:pPr>
      <w:r>
        <w:rPr>
          <w:sz w:val="26"/>
        </w:rPr>
        <w:t xml:space="preserve">LONG &amp; </w:t>
      </w:r>
      <w:proofErr w:type="spellStart"/>
      <w:r>
        <w:rPr>
          <w:sz w:val="26"/>
        </w:rPr>
        <w:t>DiPIETRO</w:t>
      </w:r>
      <w:proofErr w:type="spellEnd"/>
      <w:r>
        <w:rPr>
          <w:sz w:val="26"/>
        </w:rPr>
        <w:t>, LLP</w:t>
      </w:r>
    </w:p>
    <w:p w:rsidR="00412DAA" w:rsidRDefault="00412DAA" w:rsidP="00412DAA">
      <w:pPr>
        <w:jc w:val="center"/>
        <w:rPr>
          <w:b/>
          <w:sz w:val="16"/>
        </w:rPr>
      </w:pPr>
      <w:r>
        <w:rPr>
          <w:sz w:val="16"/>
        </w:rPr>
        <w:t>ATTORNEYS AT LAW</w:t>
      </w:r>
    </w:p>
    <w:p w:rsidR="00412DAA" w:rsidRDefault="00412DAA" w:rsidP="00412DAA">
      <w:pPr>
        <w:jc w:val="center"/>
        <w:rPr>
          <w:b/>
          <w:sz w:val="14"/>
        </w:rPr>
      </w:pPr>
      <w:r>
        <w:rPr>
          <w:sz w:val="14"/>
        </w:rPr>
        <w:t>175 Derby Street</w:t>
      </w:r>
    </w:p>
    <w:p w:rsidR="00412DAA" w:rsidRDefault="00412DAA" w:rsidP="00412DAA">
      <w:pPr>
        <w:jc w:val="center"/>
        <w:rPr>
          <w:b/>
          <w:sz w:val="14"/>
        </w:rPr>
      </w:pPr>
      <w:r>
        <w:rPr>
          <w:sz w:val="14"/>
        </w:rPr>
        <w:t>Unit 17</w:t>
      </w:r>
    </w:p>
    <w:p w:rsidR="00412DAA" w:rsidRDefault="00412DAA" w:rsidP="00412DAA">
      <w:pPr>
        <w:jc w:val="center"/>
        <w:rPr>
          <w:b/>
          <w:sz w:val="14"/>
        </w:rPr>
      </w:pPr>
      <w:r>
        <w:rPr>
          <w:sz w:val="14"/>
        </w:rPr>
        <w:t>Hingham, MA  02043</w:t>
      </w:r>
    </w:p>
    <w:p w:rsidR="00412DAA" w:rsidRDefault="00412DAA" w:rsidP="00412DAA">
      <w:pPr>
        <w:jc w:val="center"/>
        <w:rPr>
          <w:b/>
          <w:sz w:val="14"/>
        </w:rPr>
      </w:pPr>
      <w:r>
        <w:rPr>
          <w:sz w:val="14"/>
        </w:rPr>
        <w:t>---------</w:t>
      </w:r>
    </w:p>
    <w:p w:rsidR="00412DAA" w:rsidRDefault="00412DAA" w:rsidP="00412DAA">
      <w:pPr>
        <w:jc w:val="center"/>
        <w:rPr>
          <w:b/>
          <w:sz w:val="14"/>
        </w:rPr>
      </w:pPr>
      <w:r>
        <w:rPr>
          <w:sz w:val="14"/>
        </w:rPr>
        <w:t>www.long-law.com</w:t>
      </w:r>
    </w:p>
    <w:p w:rsidR="00412DAA" w:rsidRDefault="00412DAA" w:rsidP="00811A6F">
      <w:pPr>
        <w:jc w:val="center"/>
        <w:rPr>
          <w:b/>
          <w:u w:val="single"/>
        </w:rPr>
      </w:pPr>
    </w:p>
    <w:p w:rsidR="00412DAA" w:rsidRDefault="00412DAA" w:rsidP="00811A6F">
      <w:pPr>
        <w:jc w:val="center"/>
        <w:rPr>
          <w:b/>
          <w:u w:val="single"/>
        </w:rPr>
      </w:pPr>
    </w:p>
    <w:p w:rsidR="00412DAA" w:rsidRDefault="00412DAA" w:rsidP="00412DAA">
      <w:pPr>
        <w:rPr>
          <w:b/>
          <w:u w:val="single"/>
        </w:rPr>
      </w:pPr>
    </w:p>
    <w:p w:rsidR="00412DAA" w:rsidRPr="00485743" w:rsidRDefault="00412DAA" w:rsidP="00412DAA">
      <w:pPr>
        <w:ind w:right="-720"/>
        <w:rPr>
          <w:b/>
          <w:sz w:val="14"/>
        </w:rPr>
      </w:pPr>
      <w:r w:rsidRPr="00485743">
        <w:rPr>
          <w:sz w:val="14"/>
        </w:rPr>
        <w:t>MICHAEL J. LONG</w:t>
      </w:r>
      <w:r w:rsidRPr="00485743">
        <w:rPr>
          <w:sz w:val="14"/>
        </w:rPr>
        <w:tab/>
      </w:r>
      <w:r w:rsidRPr="00485743">
        <w:rPr>
          <w:sz w:val="14"/>
        </w:rPr>
        <w:tab/>
      </w:r>
      <w:r w:rsidRPr="00485743">
        <w:rPr>
          <w:sz w:val="14"/>
        </w:rPr>
        <w:tab/>
      </w:r>
      <w:r w:rsidRPr="00485743">
        <w:tab/>
      </w:r>
      <w:r w:rsidRPr="00485743">
        <w:tab/>
      </w:r>
      <w:r w:rsidRPr="00485743">
        <w:tab/>
      </w:r>
      <w:r w:rsidRPr="00485743">
        <w:tab/>
      </w:r>
      <w:r w:rsidRPr="00485743">
        <w:tab/>
      </w:r>
      <w:r w:rsidRPr="00485743">
        <w:tab/>
      </w:r>
      <w:r w:rsidRPr="00485743">
        <w:rPr>
          <w:sz w:val="14"/>
        </w:rPr>
        <w:t>TELEPHONE (781) 749-0021</w:t>
      </w:r>
    </w:p>
    <w:p w:rsidR="00412DAA" w:rsidRPr="00485743" w:rsidRDefault="00412DAA" w:rsidP="00412DAA">
      <w:pPr>
        <w:ind w:right="-720"/>
        <w:rPr>
          <w:b/>
          <w:sz w:val="14"/>
        </w:rPr>
      </w:pPr>
      <w:r w:rsidRPr="00485743">
        <w:rPr>
          <w:sz w:val="14"/>
        </w:rPr>
        <w:t xml:space="preserve">ROSANN </w:t>
      </w:r>
      <w:proofErr w:type="spellStart"/>
      <w:r w:rsidRPr="00485743">
        <w:rPr>
          <w:sz w:val="14"/>
        </w:rPr>
        <w:t>DiPIETRO</w:t>
      </w:r>
      <w:proofErr w:type="spellEnd"/>
      <w:r w:rsidRPr="00485743">
        <w:rPr>
          <w:sz w:val="14"/>
        </w:rPr>
        <w:tab/>
      </w:r>
      <w:r w:rsidRPr="00485743">
        <w:rPr>
          <w:sz w:val="14"/>
        </w:rPr>
        <w:tab/>
      </w:r>
      <w:r w:rsidRPr="00485743">
        <w:rPr>
          <w:sz w:val="14"/>
        </w:rPr>
        <w:tab/>
      </w:r>
      <w:r w:rsidRPr="00485743">
        <w:rPr>
          <w:sz w:val="14"/>
        </w:rPr>
        <w:tab/>
      </w:r>
      <w:r w:rsidRPr="00485743">
        <w:rPr>
          <w:sz w:val="14"/>
        </w:rPr>
        <w:tab/>
      </w:r>
      <w:r w:rsidRPr="00485743">
        <w:rPr>
          <w:sz w:val="14"/>
        </w:rPr>
        <w:tab/>
      </w:r>
      <w:r w:rsidRPr="00485743">
        <w:rPr>
          <w:sz w:val="14"/>
        </w:rPr>
        <w:tab/>
      </w:r>
      <w:r w:rsidRPr="00485743">
        <w:rPr>
          <w:sz w:val="14"/>
        </w:rPr>
        <w:tab/>
      </w:r>
      <w:r w:rsidRPr="00485743">
        <w:rPr>
          <w:sz w:val="14"/>
        </w:rPr>
        <w:tab/>
        <w:t>FACSIMILE   (781) 749-1121</w:t>
      </w:r>
    </w:p>
    <w:p w:rsidR="00412DAA" w:rsidRPr="00485743" w:rsidRDefault="00412DAA" w:rsidP="00412DAA">
      <w:pPr>
        <w:ind w:right="-720"/>
        <w:rPr>
          <w:sz w:val="14"/>
        </w:rPr>
      </w:pPr>
      <w:r w:rsidRPr="00485743">
        <w:rPr>
          <w:sz w:val="14"/>
        </w:rPr>
        <w:t>KELLY T. GONZALEZ</w:t>
      </w:r>
      <w:r w:rsidRPr="00485743">
        <w:rPr>
          <w:sz w:val="14"/>
        </w:rPr>
        <w:tab/>
      </w:r>
      <w:r w:rsidRPr="00485743">
        <w:rPr>
          <w:sz w:val="14"/>
        </w:rPr>
        <w:tab/>
      </w:r>
      <w:r w:rsidRPr="00485743">
        <w:rPr>
          <w:sz w:val="14"/>
        </w:rPr>
        <w:tab/>
      </w:r>
      <w:r w:rsidRPr="00485743">
        <w:rPr>
          <w:sz w:val="14"/>
        </w:rPr>
        <w:tab/>
      </w:r>
      <w:r w:rsidRPr="00485743">
        <w:rPr>
          <w:sz w:val="14"/>
        </w:rPr>
        <w:tab/>
      </w:r>
      <w:r w:rsidRPr="00485743">
        <w:rPr>
          <w:sz w:val="14"/>
        </w:rPr>
        <w:tab/>
      </w:r>
      <w:r w:rsidRPr="00485743">
        <w:rPr>
          <w:sz w:val="14"/>
        </w:rPr>
        <w:tab/>
      </w:r>
      <w:r w:rsidRPr="00485743">
        <w:rPr>
          <w:sz w:val="14"/>
        </w:rPr>
        <w:tab/>
      </w:r>
      <w:r>
        <w:rPr>
          <w:sz w:val="14"/>
        </w:rPr>
        <w:tab/>
      </w:r>
      <w:r w:rsidRPr="00485743">
        <w:rPr>
          <w:sz w:val="14"/>
        </w:rPr>
        <w:t>email@long-law.com</w:t>
      </w:r>
    </w:p>
    <w:p w:rsidR="00412DAA" w:rsidRPr="00485743" w:rsidRDefault="00412DAA" w:rsidP="00412DAA">
      <w:pPr>
        <w:jc w:val="both"/>
        <w:rPr>
          <w:sz w:val="14"/>
          <w:szCs w:val="14"/>
        </w:rPr>
      </w:pPr>
      <w:r w:rsidRPr="00485743">
        <w:rPr>
          <w:sz w:val="14"/>
          <w:szCs w:val="14"/>
        </w:rPr>
        <w:t>LESLIE C. CAREY</w:t>
      </w:r>
    </w:p>
    <w:p w:rsidR="00412DAA" w:rsidRPr="00485743" w:rsidRDefault="00412DAA" w:rsidP="00412DAA">
      <w:pPr>
        <w:jc w:val="both"/>
        <w:rPr>
          <w:b/>
          <w:sz w:val="14"/>
          <w:szCs w:val="14"/>
        </w:rPr>
      </w:pPr>
    </w:p>
    <w:p w:rsidR="00412DAA" w:rsidRPr="00485743" w:rsidRDefault="00412DAA" w:rsidP="00412DAA">
      <w:pPr>
        <w:jc w:val="both"/>
        <w:rPr>
          <w:b/>
          <w:sz w:val="14"/>
          <w:szCs w:val="14"/>
        </w:rPr>
      </w:pPr>
      <w:r w:rsidRPr="00485743">
        <w:rPr>
          <w:sz w:val="14"/>
          <w:szCs w:val="14"/>
        </w:rPr>
        <w:t>JOSEPH P. LONG</w:t>
      </w:r>
    </w:p>
    <w:p w:rsidR="00412DAA" w:rsidRPr="00485743" w:rsidRDefault="00412DAA" w:rsidP="00412DAA">
      <w:pPr>
        <w:jc w:val="both"/>
        <w:rPr>
          <w:b/>
          <w:sz w:val="12"/>
          <w:szCs w:val="12"/>
        </w:rPr>
      </w:pPr>
      <w:r w:rsidRPr="00485743">
        <w:rPr>
          <w:sz w:val="12"/>
          <w:szCs w:val="12"/>
        </w:rPr>
        <w:t xml:space="preserve">OF COUNSEL </w:t>
      </w:r>
    </w:p>
    <w:p w:rsidR="00412DAA" w:rsidRDefault="00412DAA" w:rsidP="00811A6F">
      <w:pPr>
        <w:jc w:val="center"/>
        <w:rPr>
          <w:b/>
          <w:u w:val="single"/>
        </w:rPr>
      </w:pPr>
    </w:p>
    <w:p w:rsidR="00BE2351" w:rsidRPr="00811A6F" w:rsidRDefault="00BE2351" w:rsidP="00811A6F">
      <w:pPr>
        <w:jc w:val="center"/>
        <w:rPr>
          <w:b/>
          <w:u w:val="single"/>
        </w:rPr>
      </w:pPr>
      <w:r w:rsidRPr="008752C1">
        <w:rPr>
          <w:b/>
          <w:u w:val="single"/>
        </w:rPr>
        <w:t xml:space="preserve">MEMORANDUM </w:t>
      </w:r>
    </w:p>
    <w:p w:rsidR="00BE2351" w:rsidRDefault="00BE2351" w:rsidP="00BE2351"/>
    <w:p w:rsidR="00BE2351" w:rsidRDefault="00BE2351" w:rsidP="00BE2351">
      <w:r>
        <w:t>TO:</w:t>
      </w:r>
      <w:r>
        <w:tab/>
      </w:r>
      <w:r>
        <w:tab/>
        <w:t>M</w:t>
      </w:r>
      <w:r w:rsidR="008B064B">
        <w:t>.</w:t>
      </w:r>
      <w:r>
        <w:t>A</w:t>
      </w:r>
      <w:r w:rsidR="008B064B">
        <w:t>.</w:t>
      </w:r>
      <w:r>
        <w:t>S</w:t>
      </w:r>
      <w:r w:rsidR="008B064B">
        <w:t>.</w:t>
      </w:r>
      <w:r>
        <w:t>S</w:t>
      </w:r>
      <w:r w:rsidR="008B064B">
        <w:t>.</w:t>
      </w:r>
    </w:p>
    <w:p w:rsidR="00BE2351" w:rsidRDefault="00BE2351" w:rsidP="00BE2351"/>
    <w:p w:rsidR="00BE2351" w:rsidRDefault="00BE2351" w:rsidP="00BE2351">
      <w:r>
        <w:t>FROM:</w:t>
      </w:r>
      <w:r>
        <w:tab/>
        <w:t xml:space="preserve">Long &amp; </w:t>
      </w:r>
      <w:proofErr w:type="spellStart"/>
      <w:r>
        <w:t>DiPietro</w:t>
      </w:r>
      <w:proofErr w:type="spellEnd"/>
      <w:r>
        <w:t>, LLP</w:t>
      </w:r>
    </w:p>
    <w:p w:rsidR="00BE2351" w:rsidRDefault="00BE2351" w:rsidP="00BE2351"/>
    <w:p w:rsidR="00BE2351" w:rsidRDefault="00FC27AD" w:rsidP="00BE2351">
      <w:r>
        <w:t>DATE:</w:t>
      </w:r>
      <w:r>
        <w:tab/>
      </w:r>
      <w:r>
        <w:tab/>
      </w:r>
      <w:r w:rsidR="000F5580">
        <w:t>March 12, 2015</w:t>
      </w:r>
    </w:p>
    <w:p w:rsidR="00BE2351" w:rsidRDefault="00BE2351" w:rsidP="00BE2351">
      <w:r>
        <w:t xml:space="preserve">    </w:t>
      </w:r>
    </w:p>
    <w:p w:rsidR="00BE2351" w:rsidRPr="0030312F" w:rsidRDefault="00BE2351" w:rsidP="00BE2351">
      <w:pPr>
        <w:ind w:left="1440" w:hanging="1440"/>
      </w:pPr>
      <w:r>
        <w:t>RE:</w:t>
      </w:r>
      <w:r>
        <w:tab/>
      </w:r>
      <w:r w:rsidR="00811A6F">
        <w:t>Review of School Immunization Law</w:t>
      </w:r>
    </w:p>
    <w:p w:rsidR="00BE2351" w:rsidRDefault="00BE2351" w:rsidP="00BE2351">
      <w:pPr>
        <w:pBdr>
          <w:bottom w:val="single" w:sz="12" w:space="1" w:color="auto"/>
        </w:pBdr>
      </w:pPr>
    </w:p>
    <w:p w:rsidR="00BE2351" w:rsidRDefault="00BE2351" w:rsidP="00BE2351"/>
    <w:p w:rsidR="00A846CF" w:rsidRDefault="00120625" w:rsidP="006B388C">
      <w:pPr>
        <w:spacing w:line="480" w:lineRule="auto"/>
        <w:ind w:firstLine="720"/>
      </w:pPr>
      <w:r>
        <w:t>According to the Centers for Disease Control, at least 154</w:t>
      </w:r>
      <w:r w:rsidR="00B33DEE">
        <w:t xml:space="preserve"> people across the United States </w:t>
      </w:r>
      <w:proofErr w:type="gramStart"/>
      <w:r w:rsidR="00F53891">
        <w:t>have</w:t>
      </w:r>
      <w:proofErr w:type="gramEnd"/>
      <w:r w:rsidR="00F53891">
        <w:t xml:space="preserve"> been </w:t>
      </w:r>
      <w:r w:rsidR="00B33DEE">
        <w:t>diagnosed with measles</w:t>
      </w:r>
      <w:r w:rsidR="00F53891">
        <w:t xml:space="preserve"> since January 1, 2015</w:t>
      </w:r>
      <w:r w:rsidR="00FC760E">
        <w:t xml:space="preserve">. California state officials have </w:t>
      </w:r>
      <w:r w:rsidR="00892A78">
        <w:t>reported that</w:t>
      </w:r>
      <w:r w:rsidR="00FC760E">
        <w:t xml:space="preserve"> </w:t>
      </w:r>
      <w:r w:rsidR="00B33DEE">
        <w:t>at least 123</w:t>
      </w:r>
      <w:r>
        <w:t xml:space="preserve"> of those</w:t>
      </w:r>
      <w:r w:rsidR="00B33DEE">
        <w:t xml:space="preserve"> </w:t>
      </w:r>
      <w:r w:rsidR="00FF6A50">
        <w:t>people have been infected</w:t>
      </w:r>
      <w:r w:rsidR="00B33DEE">
        <w:t xml:space="preserve"> in California, with most of those having ties to an outbreak at Disneyland beginning in December of 2014. </w:t>
      </w:r>
      <w:r w:rsidR="00AF114C">
        <w:t xml:space="preserve">The </w:t>
      </w:r>
      <w:r w:rsidR="00B33DEE">
        <w:t xml:space="preserve">United States suffered its highest number of measles cases </w:t>
      </w:r>
      <w:r w:rsidR="00F53891">
        <w:t xml:space="preserve">in </w:t>
      </w:r>
      <w:r w:rsidR="0009715C">
        <w:t>decades</w:t>
      </w:r>
      <w:r w:rsidR="00AF114C">
        <w:t xml:space="preserve"> in 2014</w:t>
      </w:r>
      <w:r w:rsidR="00F53891">
        <w:t>,</w:t>
      </w:r>
      <w:r w:rsidR="00AF114C">
        <w:t xml:space="preserve"> with 644 cases being reported to the Centers for Disease Control </w:t>
      </w:r>
      <w:r w:rsidR="00F716AB">
        <w:t xml:space="preserve">that year. </w:t>
      </w:r>
    </w:p>
    <w:p w:rsidR="00D57109" w:rsidRDefault="0042568E" w:rsidP="00642DB8">
      <w:pPr>
        <w:spacing w:line="480" w:lineRule="auto"/>
        <w:ind w:firstLine="720"/>
      </w:pPr>
      <w:r>
        <w:t xml:space="preserve">These outbreaks are occurring </w:t>
      </w:r>
      <w:r w:rsidR="00F53891">
        <w:t>despite the</w:t>
      </w:r>
      <w:r w:rsidR="00B33DEE">
        <w:t xml:space="preserve"> measles</w:t>
      </w:r>
      <w:r w:rsidR="00F53891">
        <w:t xml:space="preserve"> having been</w:t>
      </w:r>
      <w:r w:rsidR="00B33DEE">
        <w:t xml:space="preserve"> declared “eliminated” in the United States in the year 2000 thanks to decades of childhood</w:t>
      </w:r>
      <w:r w:rsidR="0009715C">
        <w:t xml:space="preserve"> vaccination e</w:t>
      </w:r>
      <w:r>
        <w:t>fforts.</w:t>
      </w:r>
      <w:r w:rsidR="006B388C">
        <w:t xml:space="preserve"> Many experts attribute the rise in </w:t>
      </w:r>
      <w:r w:rsidR="00B33DEE">
        <w:t xml:space="preserve">outbreaks </w:t>
      </w:r>
      <w:r w:rsidR="00D57109">
        <w:t xml:space="preserve">of diseases </w:t>
      </w:r>
      <w:proofErr w:type="gramStart"/>
      <w:r w:rsidR="00B33DEE">
        <w:t>considered</w:t>
      </w:r>
      <w:r w:rsidR="00BA6EF5">
        <w:t xml:space="preserve"> </w:t>
      </w:r>
      <w:r w:rsidR="006B388C">
        <w:t xml:space="preserve">to be </w:t>
      </w:r>
      <w:r w:rsidR="00BA6EF5">
        <w:t>eradicated or</w:t>
      </w:r>
      <w:proofErr w:type="gramEnd"/>
      <w:r w:rsidR="00BA6EF5">
        <w:t xml:space="preserve"> </w:t>
      </w:r>
      <w:r w:rsidR="00D57109">
        <w:t>nearly eradicated in the United States</w:t>
      </w:r>
      <w:r w:rsidR="0009715C">
        <w:t xml:space="preserve"> for many years</w:t>
      </w:r>
      <w:r w:rsidR="00D57109">
        <w:t>,</w:t>
      </w:r>
      <w:r w:rsidR="006B388C">
        <w:t xml:space="preserve"> such as measles, to </w:t>
      </w:r>
      <w:r w:rsidR="00D57109">
        <w:t>the growing anti</w:t>
      </w:r>
      <w:r w:rsidR="006B388C">
        <w:t>-</w:t>
      </w:r>
      <w:r w:rsidR="00D57109">
        <w:t xml:space="preserve">vaccination movement </w:t>
      </w:r>
      <w:r w:rsidR="006B388C">
        <w:t xml:space="preserve">and </w:t>
      </w:r>
      <w:r w:rsidR="00B33DEE">
        <w:t>its</w:t>
      </w:r>
      <w:r w:rsidR="00BA6EF5">
        <w:t xml:space="preserve"> vocal </w:t>
      </w:r>
      <w:r w:rsidR="006B388C">
        <w:t xml:space="preserve">supporters. In this current public health climate, </w:t>
      </w:r>
      <w:r w:rsidR="00D57109">
        <w:t xml:space="preserve">it is important for school </w:t>
      </w:r>
      <w:r w:rsidR="00BA6EF5">
        <w:lastRenderedPageBreak/>
        <w:t xml:space="preserve">departments to recognize that the </w:t>
      </w:r>
      <w:r w:rsidR="00D57109">
        <w:t>Commonwealth</w:t>
      </w:r>
      <w:r w:rsidR="00BA6EF5">
        <w:t xml:space="preserve">’s </w:t>
      </w:r>
      <w:r w:rsidR="00B33DEE">
        <w:t xml:space="preserve">clear and </w:t>
      </w:r>
      <w:proofErr w:type="gramStart"/>
      <w:r w:rsidR="00BA6EF5">
        <w:t>well settled</w:t>
      </w:r>
      <w:proofErr w:type="gramEnd"/>
      <w:r w:rsidR="00BA6EF5">
        <w:t xml:space="preserve"> law requiring student immunizations remains un</w:t>
      </w:r>
      <w:r w:rsidR="00B33DEE">
        <w:t>changed.</w:t>
      </w:r>
      <w:r w:rsidR="00642DB8">
        <w:t xml:space="preserve"> Enforcement policies for unvaccinated or under vaccinated</w:t>
      </w:r>
      <w:r w:rsidR="005F3842">
        <w:t xml:space="preserve"> students must be</w:t>
      </w:r>
      <w:r w:rsidR="00642DB8">
        <w:t xml:space="preserve"> developed and implemented by individual schools or school districts.</w:t>
      </w:r>
    </w:p>
    <w:p w:rsidR="00D16D76" w:rsidRDefault="00D16D76" w:rsidP="00D16D76">
      <w:pPr>
        <w:spacing w:line="480" w:lineRule="auto"/>
        <w:ind w:firstLine="720"/>
      </w:pPr>
      <w:r>
        <w:t>Mass. Gen. L. c. 76, §</w:t>
      </w:r>
      <w:r w:rsidR="008700DC">
        <w:t xml:space="preserve">15 provides the state statutory </w:t>
      </w:r>
      <w:r w:rsidR="00BE2351">
        <w:t xml:space="preserve">framework for </w:t>
      </w:r>
      <w:r w:rsidR="007C07F1">
        <w:t>immunization</w:t>
      </w:r>
      <w:r w:rsidR="008700DC">
        <w:t xml:space="preserve"> </w:t>
      </w:r>
      <w:r w:rsidR="00BE2351">
        <w:t>requirements a</w:t>
      </w:r>
      <w:r w:rsidR="007F3696">
        <w:t>nd exemptions in Massachuset</w:t>
      </w:r>
      <w:r w:rsidR="00821125">
        <w:t>ts.</w:t>
      </w:r>
      <w:r>
        <w:t xml:space="preserve"> Under Mass. Gen. L. c. 76, §15, </w:t>
      </w:r>
    </w:p>
    <w:p w:rsidR="00B03D4E" w:rsidRDefault="00D16D76" w:rsidP="00096D29">
      <w:pPr>
        <w:ind w:left="720"/>
      </w:pPr>
      <w:r>
        <w:t>“</w:t>
      </w:r>
      <w:r w:rsidRPr="00A1291C">
        <w:t>No child shall, except as hereinafter provided, be admitted to school except upon presentation of a physician’s certificate that the child has been successfully immunized against diphtheria, pertussis, tetanus, measles and poliomyelitis and such other communicable diseases as may be specified from time to time by the department of public health.</w:t>
      </w:r>
      <w:r>
        <w:t>”</w:t>
      </w:r>
      <w:r w:rsidRPr="00A1291C">
        <w:t xml:space="preserve"> </w:t>
      </w:r>
      <w:r>
        <w:t xml:space="preserve"> </w:t>
      </w:r>
    </w:p>
    <w:p w:rsidR="00096D29" w:rsidRDefault="00096D29" w:rsidP="00096D29">
      <w:pPr>
        <w:ind w:left="720"/>
      </w:pPr>
    </w:p>
    <w:p w:rsidR="00D16D76" w:rsidRDefault="00D16D76" w:rsidP="00D16D76">
      <w:pPr>
        <w:spacing w:line="480" w:lineRule="auto"/>
      </w:pPr>
      <w:r>
        <w:t xml:space="preserve">Therefore, </w:t>
      </w:r>
      <w:r w:rsidR="007A251F">
        <w:t xml:space="preserve">under state law </w:t>
      </w:r>
      <w:r>
        <w:t xml:space="preserve">any student failing to provide a physician’s certification of required immunizations must not be </w:t>
      </w:r>
      <w:r w:rsidR="00877A28">
        <w:t>allowed to attend school</w:t>
      </w:r>
      <w:r w:rsidR="00B03D4E">
        <w:t>, with two main exemptions: (1) medical exemption or (2) religious exemption.</w:t>
      </w:r>
    </w:p>
    <w:p w:rsidR="00B03D4E" w:rsidRDefault="00B03D4E" w:rsidP="00D16D76">
      <w:pPr>
        <w:spacing w:line="480" w:lineRule="auto"/>
      </w:pPr>
      <w:r>
        <w:tab/>
        <w:t xml:space="preserve">Regarding the medical exemption, Mass. Gen. L. c. 76, §15 provides that a child who has not been immunized </w:t>
      </w:r>
      <w:r w:rsidR="002D7AD2">
        <w:t xml:space="preserve">for medical reasons </w:t>
      </w:r>
      <w:r>
        <w:t xml:space="preserve">shall be admitted to school </w:t>
      </w:r>
      <w:r w:rsidR="00971DA2">
        <w:t>only</w:t>
      </w:r>
    </w:p>
    <w:p w:rsidR="00B03D4E" w:rsidRDefault="00B03D4E" w:rsidP="003329A2">
      <w:pPr>
        <w:ind w:left="720"/>
      </w:pPr>
      <w:r>
        <w:t>“…</w:t>
      </w:r>
      <w:proofErr w:type="gramStart"/>
      <w:r>
        <w:t>upon</w:t>
      </w:r>
      <w:proofErr w:type="gramEnd"/>
      <w:r>
        <w:t xml:space="preserve"> certification by a physician that he has personally examined such child and that in his opinion…[the child’s] health would be endangered by such vaccination or by any of such immunizations.”</w:t>
      </w:r>
    </w:p>
    <w:p w:rsidR="003329A2" w:rsidRDefault="003329A2" w:rsidP="003329A2">
      <w:pPr>
        <w:ind w:left="720"/>
      </w:pPr>
    </w:p>
    <w:p w:rsidR="003329A2" w:rsidRDefault="00B03D4E" w:rsidP="00960660">
      <w:pPr>
        <w:spacing w:line="480" w:lineRule="auto"/>
      </w:pPr>
      <w:r>
        <w:t xml:space="preserve">A physician’s certification claiming </w:t>
      </w:r>
      <w:r w:rsidR="003329A2">
        <w:t xml:space="preserve">a student’s </w:t>
      </w:r>
      <w:r>
        <w:t>medical exemption must be submitted to the “physician in charge of the school health program”</w:t>
      </w:r>
      <w:r w:rsidR="003329A2">
        <w:t xml:space="preserve"> at “the beginning of each school year.”</w:t>
      </w:r>
      <w:r w:rsidR="00960660">
        <w:t xml:space="preserve"> If the school’s physician is not in agreement with the certifying physician’s opinion that medical exemption is warranted, the Massachusetts Department of Public Health will make a decision on the matter, having </w:t>
      </w:r>
      <w:r w:rsidR="00096D29">
        <w:t>“</w:t>
      </w:r>
      <w:r w:rsidR="00960660">
        <w:t>final</w:t>
      </w:r>
      <w:r w:rsidR="00096D29">
        <w:t>”</w:t>
      </w:r>
      <w:r w:rsidR="00960660">
        <w:t xml:space="preserve"> authority.</w:t>
      </w:r>
    </w:p>
    <w:p w:rsidR="002D7AD2" w:rsidRDefault="002D7AD2" w:rsidP="00E647F6">
      <w:pPr>
        <w:spacing w:line="480" w:lineRule="auto"/>
        <w:ind w:firstLine="720"/>
      </w:pPr>
      <w:r>
        <w:t xml:space="preserve">As for the religious exemption, Mass. Gen. L. c. 76, §15 provides that a child who has not been immunized </w:t>
      </w:r>
      <w:r w:rsidR="00E647F6">
        <w:t xml:space="preserve">because of religious beliefs </w:t>
      </w:r>
      <w:r>
        <w:t>shall be admitted to school only</w:t>
      </w:r>
    </w:p>
    <w:p w:rsidR="00A846CF" w:rsidRDefault="00B03D4E" w:rsidP="00A846CF">
      <w:pPr>
        <w:ind w:left="720"/>
      </w:pPr>
      <w:r>
        <w:lastRenderedPageBreak/>
        <w:t>“</w:t>
      </w:r>
      <w:r w:rsidR="00E647F6">
        <w:t>[</w:t>
      </w:r>
      <w:proofErr w:type="spellStart"/>
      <w:proofErr w:type="gramStart"/>
      <w:r w:rsidR="00E647F6">
        <w:t>i</w:t>
      </w:r>
      <w:proofErr w:type="spellEnd"/>
      <w:r w:rsidR="00E647F6">
        <w:t>]</w:t>
      </w:r>
      <w:r>
        <w:t>n</w:t>
      </w:r>
      <w:proofErr w:type="gramEnd"/>
      <w:r>
        <w:t xml:space="preserve"> the absence of an emergency or epidemic of disease declared by the department of </w:t>
      </w:r>
      <w:r w:rsidR="00D9607A">
        <w:t>public health</w:t>
      </w:r>
      <w:r w:rsidR="00E647F6">
        <w:t xml:space="preserve">” </w:t>
      </w:r>
      <w:r w:rsidR="00D9607A">
        <w:t xml:space="preserve">and if a </w:t>
      </w:r>
      <w:r w:rsidR="00E647F6">
        <w:t>“</w:t>
      </w:r>
      <w:r>
        <w:t>parent or guardian states in writing that vaccination or immunization conflicts with his</w:t>
      </w:r>
      <w:r w:rsidR="00A846CF">
        <w:t xml:space="preserve"> [or her] </w:t>
      </w:r>
      <w:r>
        <w:t>sincere religious beliefs</w:t>
      </w:r>
      <w:r w:rsidR="00E647F6">
        <w:t>…”</w:t>
      </w:r>
      <w:r>
        <w:t xml:space="preserve"> </w:t>
      </w:r>
    </w:p>
    <w:p w:rsidR="00A846CF" w:rsidRDefault="00A846CF" w:rsidP="00A846CF">
      <w:pPr>
        <w:ind w:left="720"/>
      </w:pPr>
    </w:p>
    <w:p w:rsidR="00CE7E1D" w:rsidRDefault="004F76D9" w:rsidP="00A846CF">
      <w:pPr>
        <w:spacing w:line="480" w:lineRule="auto"/>
      </w:pPr>
      <w:r>
        <w:t xml:space="preserve">Whether </w:t>
      </w:r>
      <w:r w:rsidRPr="00BA2E60">
        <w:t>th</w:t>
      </w:r>
      <w:r>
        <w:t xml:space="preserve">e religious exemption is applicable in the case of a particular student is not determined by claimed membership of a recognized, organized religion, but rather by whether written verification of a sincere religious belief </w:t>
      </w:r>
      <w:r w:rsidR="00DE7AF6">
        <w:t>has been</w:t>
      </w:r>
      <w:r>
        <w:t xml:space="preserve"> shown.</w:t>
      </w:r>
      <w:r w:rsidR="009D0AA4">
        <w:t xml:space="preserve"> </w:t>
      </w:r>
      <w:r w:rsidR="009D0AA4" w:rsidRPr="009D0AA4">
        <w:rPr>
          <w:u w:val="single"/>
        </w:rPr>
        <w:t>See</w:t>
      </w:r>
      <w:r w:rsidR="009D0AA4">
        <w:t xml:space="preserve"> </w:t>
      </w:r>
      <w:proofErr w:type="spellStart"/>
      <w:r w:rsidR="009D0AA4" w:rsidRPr="009D0AA4">
        <w:rPr>
          <w:u w:val="single"/>
        </w:rPr>
        <w:t>Dalli</w:t>
      </w:r>
      <w:proofErr w:type="spellEnd"/>
      <w:r w:rsidR="009D0AA4" w:rsidRPr="009D0AA4">
        <w:rPr>
          <w:u w:val="single"/>
        </w:rPr>
        <w:t xml:space="preserve"> v.</w:t>
      </w:r>
      <w:r w:rsidR="009D0AA4">
        <w:rPr>
          <w:u w:val="single"/>
        </w:rPr>
        <w:t xml:space="preserve"> Board of Education</w:t>
      </w:r>
      <w:r w:rsidR="009D0AA4">
        <w:t xml:space="preserve">, 358 Mass. 753 (1971). </w:t>
      </w:r>
      <w:r w:rsidR="00DE7AF6">
        <w:t xml:space="preserve">A student’s or </w:t>
      </w:r>
      <w:proofErr w:type="gramStart"/>
      <w:r w:rsidR="00DE7AF6">
        <w:t>parent’s</w:t>
      </w:r>
      <w:proofErr w:type="gramEnd"/>
      <w:r w:rsidR="00DE7AF6">
        <w:t xml:space="preserve"> philosophical or secular opposition to immunization or the required vaccination schedule is not a valid exemption under the law, even if framed by the objector as a form of religious belief. </w:t>
      </w:r>
      <w:r w:rsidR="00DE7AF6" w:rsidRPr="00F613B2">
        <w:rPr>
          <w:u w:val="single"/>
        </w:rPr>
        <w:t>See</w:t>
      </w:r>
      <w:r w:rsidR="00DE7AF6">
        <w:t xml:space="preserve"> </w:t>
      </w:r>
      <w:r w:rsidR="00DE7AF6" w:rsidRPr="00F613B2">
        <w:rPr>
          <w:u w:val="single"/>
        </w:rPr>
        <w:t>Morin v. MGH Inst. of Health Professions</w:t>
      </w:r>
      <w:r w:rsidR="00DE7AF6">
        <w:t>, 2002 WL 31441509, at</w:t>
      </w:r>
      <w:r w:rsidR="00AE48BA">
        <w:t xml:space="preserve"> *5 (Mass. Super. Nov. 1, 2002)</w:t>
      </w:r>
      <w:r w:rsidR="00B74A8F">
        <w:t>(analyzing the religious exemption under Mass. Gen. L. c. 76, §15C</w:t>
      </w:r>
      <w:r w:rsidR="00FB3FBF">
        <w:t>,</w:t>
      </w:r>
      <w:r w:rsidR="00B74A8F">
        <w:t xml:space="preserve"> pertaining to</w:t>
      </w:r>
      <w:r w:rsidR="00FB3FBF">
        <w:t xml:space="preserve"> the</w:t>
      </w:r>
      <w:r w:rsidR="00B74A8F">
        <w:t xml:space="preserve"> required immunization of college health science students)</w:t>
      </w:r>
      <w:r w:rsidR="00AE48BA">
        <w:t>.</w:t>
      </w:r>
      <w:r w:rsidR="00DE7AF6">
        <w:t xml:space="preserve"> </w:t>
      </w:r>
      <w:r>
        <w:t xml:space="preserve"> </w:t>
      </w:r>
    </w:p>
    <w:p w:rsidR="008700DC" w:rsidRDefault="00E64402" w:rsidP="00147ECB">
      <w:pPr>
        <w:spacing w:line="480" w:lineRule="auto"/>
        <w:ind w:firstLine="720"/>
      </w:pPr>
      <w:r>
        <w:t xml:space="preserve">In addition to </w:t>
      </w:r>
      <w:r w:rsidR="00EA52E4">
        <w:t xml:space="preserve">the </w:t>
      </w:r>
      <w:r w:rsidR="00CE7E1D">
        <w:t>medical and religious exemptions</w:t>
      </w:r>
      <w:r w:rsidR="00265343">
        <w:t xml:space="preserve"> provided for by state statute</w:t>
      </w:r>
      <w:r w:rsidR="00AB42BB">
        <w:t>, there is an</w:t>
      </w:r>
      <w:r w:rsidR="00CE7E1D">
        <w:t xml:space="preserve"> </w:t>
      </w:r>
      <w:r w:rsidR="00CE7E1D" w:rsidRPr="00275785">
        <w:rPr>
          <w:i/>
        </w:rPr>
        <w:t>exception</w:t>
      </w:r>
      <w:r w:rsidR="00CE7E1D">
        <w:t xml:space="preserve"> </w:t>
      </w:r>
      <w:r w:rsidR="00AB42BB">
        <w:t xml:space="preserve">under federal law </w:t>
      </w:r>
      <w:r w:rsidR="00CE7E1D">
        <w:t xml:space="preserve">to </w:t>
      </w:r>
      <w:r w:rsidR="00EA52E4">
        <w:t>the state requirement that a student’s immunization records be provided t</w:t>
      </w:r>
      <w:r w:rsidR="00265343">
        <w:t xml:space="preserve">o a school prior to </w:t>
      </w:r>
      <w:r w:rsidR="00AB42BB">
        <w:t xml:space="preserve">the student’s </w:t>
      </w:r>
      <w:r w:rsidR="00265343">
        <w:t>enrollment</w:t>
      </w:r>
      <w:r w:rsidR="002D6973">
        <w:t xml:space="preserve">. The </w:t>
      </w:r>
      <w:r w:rsidR="00CE7E1D">
        <w:t>McKinney-Vento Homeless</w:t>
      </w:r>
      <w:r w:rsidR="002D6973">
        <w:t xml:space="preserve"> Education </w:t>
      </w:r>
      <w:r w:rsidR="00CE7E1D">
        <w:t>Assistance Act</w:t>
      </w:r>
      <w:r w:rsidR="003456D7">
        <w:t xml:space="preserve">, </w:t>
      </w:r>
      <w:proofErr w:type="gramStart"/>
      <w:r w:rsidR="00D37B9A">
        <w:t>42 U.S.C. §</w:t>
      </w:r>
      <w:r w:rsidR="003456D7" w:rsidRPr="003456D7">
        <w:t>11301</w:t>
      </w:r>
      <w:r w:rsidR="003456D7">
        <w:t xml:space="preserve"> et seq.</w:t>
      </w:r>
      <w:r w:rsidR="002D6973">
        <w:t>,</w:t>
      </w:r>
      <w:proofErr w:type="gramEnd"/>
      <w:r w:rsidR="002D6973">
        <w:t xml:space="preserve"> </w:t>
      </w:r>
      <w:r w:rsidR="00CB7F44">
        <w:t>provides</w:t>
      </w:r>
      <w:r w:rsidR="002D6973">
        <w:t xml:space="preserve"> </w:t>
      </w:r>
      <w:r w:rsidR="003A64BE">
        <w:t xml:space="preserve">in </w:t>
      </w:r>
      <w:r w:rsidR="00D37B9A">
        <w:t>§</w:t>
      </w:r>
      <w:r w:rsidR="003A64BE">
        <w:t xml:space="preserve">11432 </w:t>
      </w:r>
      <w:r w:rsidR="002D6973">
        <w:t>that h</w:t>
      </w:r>
      <w:r w:rsidR="00E86A09">
        <w:t>omeless stu</w:t>
      </w:r>
      <w:r w:rsidR="002D6973">
        <w:t xml:space="preserve">dents may not be prevented from </w:t>
      </w:r>
      <w:r w:rsidR="00E86A09">
        <w:t xml:space="preserve">attending school due to a lack of </w:t>
      </w:r>
      <w:r w:rsidR="00003FA6">
        <w:t xml:space="preserve">immunizations or </w:t>
      </w:r>
      <w:r w:rsidR="00E86A09">
        <w:t xml:space="preserve">vaccination </w:t>
      </w:r>
      <w:r w:rsidR="00311401">
        <w:t xml:space="preserve">records. If a homeless student </w:t>
      </w:r>
      <w:r w:rsidR="00003FA6">
        <w:t xml:space="preserve">has not been immunized </w:t>
      </w:r>
      <w:r w:rsidR="00885438">
        <w:t>and/</w:t>
      </w:r>
      <w:r w:rsidR="00003FA6">
        <w:t xml:space="preserve">or does not have access to </w:t>
      </w:r>
      <w:r w:rsidR="00FD1274">
        <w:t>documentation</w:t>
      </w:r>
      <w:r w:rsidR="00003FA6">
        <w:t xml:space="preserve"> of immunization</w:t>
      </w:r>
      <w:r w:rsidR="00FD1274">
        <w:t xml:space="preserve">, his or her “Homeless Education Liaison” must immediately </w:t>
      </w:r>
      <w:r w:rsidR="00BC7D05">
        <w:t xml:space="preserve">assist </w:t>
      </w:r>
      <w:r w:rsidR="00B123E5">
        <w:t xml:space="preserve">the student in obtaining </w:t>
      </w:r>
      <w:r w:rsidR="00003FA6">
        <w:t>the required immunizations and/or immunization</w:t>
      </w:r>
      <w:r w:rsidR="00B123E5">
        <w:t xml:space="preserve"> records.</w:t>
      </w:r>
      <w:r w:rsidR="003C6B58">
        <w:t xml:space="preserve"> A homeless student may not be prevented from enrolling in or </w:t>
      </w:r>
      <w:r w:rsidR="00025493">
        <w:t>continuing to attend</w:t>
      </w:r>
      <w:r w:rsidR="003C6B58">
        <w:t xml:space="preserve"> school in the interim.</w:t>
      </w:r>
    </w:p>
    <w:p w:rsidR="002B27E3" w:rsidRDefault="002B27E3" w:rsidP="00B406FD">
      <w:pPr>
        <w:spacing w:line="480" w:lineRule="auto"/>
        <w:ind w:firstLine="720"/>
      </w:pPr>
      <w:proofErr w:type="gramStart"/>
      <w:r>
        <w:t>Massachusetts</w:t>
      </w:r>
      <w:proofErr w:type="gramEnd"/>
      <w:r>
        <w:t xml:space="preserve"> courts have continually upheld the legality and enforceability of compulsory immunization and state immunization laws.</w:t>
      </w:r>
      <w:r w:rsidR="00443F34">
        <w:t xml:space="preserve"> A law requiring compulsory inoculation </w:t>
      </w:r>
      <w:r w:rsidR="00443F34">
        <w:lastRenderedPageBreak/>
        <w:t xml:space="preserve">against smallpox, enacted in 1810, was codified as Statute 1809, Chapter 117 in the second volume of General Laws of Massachusetts in 1823. </w:t>
      </w:r>
      <w:r w:rsidR="00443F34" w:rsidRPr="00443F34">
        <w:rPr>
          <w:u w:val="single"/>
        </w:rPr>
        <w:t>See</w:t>
      </w:r>
      <w:r w:rsidR="00443F34">
        <w:t xml:space="preserve"> </w:t>
      </w:r>
      <w:r w:rsidR="00443F34" w:rsidRPr="00443F34">
        <w:rPr>
          <w:u w:val="single"/>
        </w:rPr>
        <w:t>Com. v. Childs</w:t>
      </w:r>
      <w:r w:rsidR="00443F34">
        <w:t>, 299 Mass. 367, 368 (1938).</w:t>
      </w:r>
      <w:r w:rsidR="00B406FD">
        <w:t xml:space="preserve"> </w:t>
      </w:r>
      <w:r>
        <w:t xml:space="preserve">In </w:t>
      </w:r>
      <w:proofErr w:type="spellStart"/>
      <w:r w:rsidR="009C537C">
        <w:rPr>
          <w:u w:val="single"/>
        </w:rPr>
        <w:t>Dalli</w:t>
      </w:r>
      <w:proofErr w:type="spellEnd"/>
      <w:r w:rsidR="009C537C">
        <w:t xml:space="preserve">, 358 Mass. at </w:t>
      </w:r>
      <w:r>
        <w:t>756 (1971)</w:t>
      </w:r>
      <w:r w:rsidR="006E5F33">
        <w:t>,</w:t>
      </w:r>
      <w:r>
        <w:t xml:space="preserve"> the Massachusetts Supreme Judicial Court observed that such laws have been “universally upheld as proper exercises of the police power.”</w:t>
      </w:r>
      <w:r w:rsidR="00964F08">
        <w:t xml:space="preserve"> </w:t>
      </w:r>
      <w:r>
        <w:t xml:space="preserve">The United States Supreme Court has </w:t>
      </w:r>
      <w:r w:rsidR="00BE42BB">
        <w:t xml:space="preserve">likewise </w:t>
      </w:r>
      <w:r>
        <w:t xml:space="preserve">upheld mandatory immunization laws as proper exercise of a state’s police power since at </w:t>
      </w:r>
      <w:r w:rsidR="000D2075">
        <w:t>least since the early 1900s</w:t>
      </w:r>
      <w:r>
        <w:t xml:space="preserve">. </w:t>
      </w:r>
      <w:r w:rsidR="000D2075">
        <w:rPr>
          <w:u w:val="single"/>
        </w:rPr>
        <w:t>See</w:t>
      </w:r>
      <w:r w:rsidR="000D2075">
        <w:t xml:space="preserve"> </w:t>
      </w:r>
      <w:r w:rsidR="000D2075">
        <w:rPr>
          <w:u w:val="single"/>
        </w:rPr>
        <w:t>Jacobson v. Commonwealth of Massachusetts</w:t>
      </w:r>
      <w:r w:rsidR="000D2075">
        <w:t xml:space="preserve">, 17 U.S. 11 (1905). </w:t>
      </w:r>
    </w:p>
    <w:p w:rsidR="00A846CF" w:rsidRDefault="008700DC" w:rsidP="00750D95">
      <w:pPr>
        <w:spacing w:line="480" w:lineRule="auto"/>
        <w:ind w:firstLine="720"/>
      </w:pPr>
      <w:r>
        <w:t xml:space="preserve">The Code of Massachusetts Regulations </w:t>
      </w:r>
      <w:r w:rsidR="00823C41">
        <w:t>is</w:t>
      </w:r>
      <w:r w:rsidR="00F15FF5">
        <w:t xml:space="preserve"> also instructive</w:t>
      </w:r>
      <w:r>
        <w:t xml:space="preserve"> re</w:t>
      </w:r>
      <w:r w:rsidR="00F15FF5">
        <w:t>lative to</w:t>
      </w:r>
      <w:r>
        <w:t xml:space="preserve"> student </w:t>
      </w:r>
      <w:r w:rsidR="00F15FF5">
        <w:t xml:space="preserve">immunization requirements, </w:t>
      </w:r>
      <w:r w:rsidR="009029B0">
        <w:t xml:space="preserve">student </w:t>
      </w:r>
      <w:r>
        <w:t>immunization records</w:t>
      </w:r>
      <w:r w:rsidR="00F15FF5">
        <w:t xml:space="preserve"> and </w:t>
      </w:r>
      <w:r w:rsidR="009029B0">
        <w:t xml:space="preserve">the exclusion of unvaccinated students from school. </w:t>
      </w:r>
      <w:r w:rsidR="00F15FF5">
        <w:t>105 CMR 220.000</w:t>
      </w:r>
      <w:r w:rsidR="009029B0">
        <w:t xml:space="preserve"> specifies</w:t>
      </w:r>
      <w:r w:rsidR="00F15FF5" w:rsidRPr="00F15FF5">
        <w:t xml:space="preserve"> </w:t>
      </w:r>
      <w:r w:rsidR="009029B0">
        <w:t xml:space="preserve">the minimum immunization requirements for school attendance. </w:t>
      </w:r>
      <w:r w:rsidR="00F948CC">
        <w:t xml:space="preserve">603 CMR </w:t>
      </w:r>
      <w:r w:rsidR="006E1AB5">
        <w:t xml:space="preserve">23.07(4)(h) </w:t>
      </w:r>
      <w:r w:rsidR="00DB4E9A">
        <w:t xml:space="preserve">allows </w:t>
      </w:r>
      <w:r w:rsidR="00364F72">
        <w:t xml:space="preserve">school health personnel and local </w:t>
      </w:r>
      <w:r w:rsidR="00DB4E9A">
        <w:t>and state health departments to</w:t>
      </w:r>
      <w:r w:rsidR="00364F72">
        <w:t xml:space="preserve"> access student health records, including immunization records</w:t>
      </w:r>
      <w:r w:rsidR="00DB4E9A">
        <w:t xml:space="preserve"> (which </w:t>
      </w:r>
      <w:r w:rsidR="001D4141">
        <w:t>are required to be kept on file</w:t>
      </w:r>
      <w:r w:rsidR="00DB4E9A">
        <w:t>)</w:t>
      </w:r>
      <w:r w:rsidR="00364F72">
        <w:t xml:space="preserve">, </w:t>
      </w:r>
      <w:r w:rsidR="00C164B8">
        <w:t xml:space="preserve">without student or parent consent </w:t>
      </w:r>
      <w:r w:rsidR="009029B0">
        <w:t xml:space="preserve">when </w:t>
      </w:r>
      <w:r w:rsidR="00364F72">
        <w:t>necessary for t</w:t>
      </w:r>
      <w:r w:rsidR="00710882">
        <w:t xml:space="preserve">he performance of </w:t>
      </w:r>
      <w:r w:rsidR="00C164B8">
        <w:t>official duties.</w:t>
      </w:r>
      <w:r w:rsidR="00DB4E9A">
        <w:t xml:space="preserve"> </w:t>
      </w:r>
      <w:r w:rsidR="009029B0">
        <w:t xml:space="preserve">105 CMR 300.00 provides that if </w:t>
      </w:r>
      <w:r w:rsidR="00F252E3">
        <w:t xml:space="preserve">even one case of an </w:t>
      </w:r>
      <w:r w:rsidR="00642DB8">
        <w:t xml:space="preserve">illness that is required to be vaccinated against presents in a typical school setting, all “susceptible” students, including those that are unvaccinated or under vaccinated </w:t>
      </w:r>
      <w:r w:rsidR="009029B0">
        <w:t>for any reason</w:t>
      </w:r>
      <w:r w:rsidR="00F252E3">
        <w:t>,</w:t>
      </w:r>
      <w:r w:rsidR="009029B0">
        <w:t xml:space="preserve"> are subject to </w:t>
      </w:r>
      <w:r w:rsidR="00DF33CF">
        <w:t>exclusion from school.</w:t>
      </w:r>
    </w:p>
    <w:p w:rsidR="00170102" w:rsidRDefault="00C5433B" w:rsidP="003255F5">
      <w:pPr>
        <w:spacing w:line="480" w:lineRule="auto"/>
        <w:ind w:firstLine="720"/>
      </w:pPr>
      <w:r>
        <w:t xml:space="preserve">For </w:t>
      </w:r>
      <w:r w:rsidR="00E70904">
        <w:t xml:space="preserve">more information, </w:t>
      </w:r>
      <w:r w:rsidR="00737632">
        <w:t xml:space="preserve">please visit the Massachusetts Executive Office of Health and Human Services school immunization requirements website at </w:t>
      </w:r>
      <w:r w:rsidR="00737632" w:rsidRPr="00737632">
        <w:t>http://www.mass.gov/eohhs/gov/departments/dph/programs/id/immunization/school-requirements.html</w:t>
      </w:r>
      <w:r w:rsidR="00737632">
        <w:t>.</w:t>
      </w:r>
    </w:p>
    <w:sectPr w:rsidR="0017010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A8" w:rsidRDefault="001D7BA8" w:rsidP="00C96120">
      <w:r>
        <w:separator/>
      </w:r>
    </w:p>
  </w:endnote>
  <w:endnote w:type="continuationSeparator" w:id="0">
    <w:p w:rsidR="001D7BA8" w:rsidRDefault="001D7BA8" w:rsidP="00C9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8"/>
        <w:szCs w:val="28"/>
      </w:rPr>
      <w:id w:val="1831321234"/>
      <w:docPartObj>
        <w:docPartGallery w:val="Page Numbers (Bottom of Page)"/>
        <w:docPartUnique/>
      </w:docPartObj>
    </w:sdtPr>
    <w:sdtEndPr/>
    <w:sdtContent>
      <w:p w:rsidR="00C96120" w:rsidRPr="00C96120" w:rsidRDefault="00C96120">
        <w:pPr>
          <w:pStyle w:val="Footer"/>
          <w:jc w:val="center"/>
          <w:rPr>
            <w:rFonts w:eastAsiaTheme="majorEastAsia"/>
            <w:sz w:val="28"/>
            <w:szCs w:val="28"/>
          </w:rPr>
        </w:pPr>
        <w:r w:rsidRPr="00C96120">
          <w:rPr>
            <w:rFonts w:eastAsiaTheme="majorEastAsia"/>
            <w:sz w:val="28"/>
            <w:szCs w:val="28"/>
          </w:rPr>
          <w:t xml:space="preserve">- </w:t>
        </w:r>
        <w:r w:rsidRPr="00C96120">
          <w:rPr>
            <w:rFonts w:eastAsiaTheme="minorEastAsia"/>
          </w:rPr>
          <w:fldChar w:fldCharType="begin"/>
        </w:r>
        <w:r w:rsidRPr="00C96120">
          <w:instrText xml:space="preserve"> PAGE    \* MERGEFORMAT </w:instrText>
        </w:r>
        <w:r w:rsidRPr="00C96120">
          <w:rPr>
            <w:rFonts w:eastAsiaTheme="minorEastAsia"/>
          </w:rPr>
          <w:fldChar w:fldCharType="separate"/>
        </w:r>
        <w:r w:rsidR="00CF0278" w:rsidRPr="00CF0278">
          <w:rPr>
            <w:rFonts w:eastAsiaTheme="majorEastAsia"/>
            <w:noProof/>
          </w:rPr>
          <w:t>1</w:t>
        </w:r>
        <w:r w:rsidRPr="00C96120">
          <w:rPr>
            <w:rFonts w:eastAsiaTheme="majorEastAsia"/>
            <w:noProof/>
          </w:rPr>
          <w:fldChar w:fldCharType="end"/>
        </w:r>
        <w:r w:rsidRPr="00C96120">
          <w:rPr>
            <w:rFonts w:eastAsiaTheme="majorEastAsia"/>
            <w:sz w:val="28"/>
            <w:szCs w:val="28"/>
          </w:rPr>
          <w:t xml:space="preserve"> -</w:t>
        </w:r>
      </w:p>
    </w:sdtContent>
  </w:sdt>
  <w:p w:rsidR="00C96120" w:rsidRDefault="00C961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A8" w:rsidRDefault="001D7BA8" w:rsidP="00C96120">
      <w:r>
        <w:separator/>
      </w:r>
    </w:p>
  </w:footnote>
  <w:footnote w:type="continuationSeparator" w:id="0">
    <w:p w:rsidR="001D7BA8" w:rsidRDefault="001D7BA8" w:rsidP="00C9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77"/>
    <w:rsid w:val="00003FA6"/>
    <w:rsid w:val="0000499B"/>
    <w:rsid w:val="00025493"/>
    <w:rsid w:val="000661EF"/>
    <w:rsid w:val="000803F7"/>
    <w:rsid w:val="00096D29"/>
    <w:rsid w:val="0009715C"/>
    <w:rsid w:val="000B7B14"/>
    <w:rsid w:val="000C7669"/>
    <w:rsid w:val="000D2075"/>
    <w:rsid w:val="000F10BC"/>
    <w:rsid w:val="000F271E"/>
    <w:rsid w:val="000F5580"/>
    <w:rsid w:val="00120625"/>
    <w:rsid w:val="00127717"/>
    <w:rsid w:val="00130A74"/>
    <w:rsid w:val="00147ECB"/>
    <w:rsid w:val="00151819"/>
    <w:rsid w:val="001D4141"/>
    <w:rsid w:val="001D7BA8"/>
    <w:rsid w:val="00200878"/>
    <w:rsid w:val="002437C5"/>
    <w:rsid w:val="00265343"/>
    <w:rsid w:val="002709C8"/>
    <w:rsid w:val="00275785"/>
    <w:rsid w:val="002A28D1"/>
    <w:rsid w:val="002B27E3"/>
    <w:rsid w:val="002C019C"/>
    <w:rsid w:val="002D6973"/>
    <w:rsid w:val="002D7AD2"/>
    <w:rsid w:val="002F4C23"/>
    <w:rsid w:val="0030390D"/>
    <w:rsid w:val="00311401"/>
    <w:rsid w:val="003219A6"/>
    <w:rsid w:val="003255F5"/>
    <w:rsid w:val="003329A2"/>
    <w:rsid w:val="003456D7"/>
    <w:rsid w:val="0034753E"/>
    <w:rsid w:val="00364F72"/>
    <w:rsid w:val="00367BC7"/>
    <w:rsid w:val="003A0614"/>
    <w:rsid w:val="003A64BE"/>
    <w:rsid w:val="003C0D90"/>
    <w:rsid w:val="003C6B58"/>
    <w:rsid w:val="00412DAA"/>
    <w:rsid w:val="0042568E"/>
    <w:rsid w:val="00443F34"/>
    <w:rsid w:val="004F76D9"/>
    <w:rsid w:val="00511603"/>
    <w:rsid w:val="005230F0"/>
    <w:rsid w:val="00531023"/>
    <w:rsid w:val="005F3842"/>
    <w:rsid w:val="00642DB8"/>
    <w:rsid w:val="006B388C"/>
    <w:rsid w:val="006C62D7"/>
    <w:rsid w:val="006E0CDA"/>
    <w:rsid w:val="006E1AB5"/>
    <w:rsid w:val="006E5F33"/>
    <w:rsid w:val="00710882"/>
    <w:rsid w:val="00737632"/>
    <w:rsid w:val="00750D95"/>
    <w:rsid w:val="00751F84"/>
    <w:rsid w:val="007520AD"/>
    <w:rsid w:val="00784DBA"/>
    <w:rsid w:val="007A251F"/>
    <w:rsid w:val="007C07F1"/>
    <w:rsid w:val="007E6CF2"/>
    <w:rsid w:val="007F3696"/>
    <w:rsid w:val="00804EA7"/>
    <w:rsid w:val="00811A6F"/>
    <w:rsid w:val="00821125"/>
    <w:rsid w:val="00823C41"/>
    <w:rsid w:val="0084078B"/>
    <w:rsid w:val="008700DC"/>
    <w:rsid w:val="00877A28"/>
    <w:rsid w:val="00885438"/>
    <w:rsid w:val="00892A78"/>
    <w:rsid w:val="008B064B"/>
    <w:rsid w:val="008F6FEC"/>
    <w:rsid w:val="009029B0"/>
    <w:rsid w:val="00933B4A"/>
    <w:rsid w:val="00960660"/>
    <w:rsid w:val="00964F08"/>
    <w:rsid w:val="00971DA2"/>
    <w:rsid w:val="00980A42"/>
    <w:rsid w:val="009847D1"/>
    <w:rsid w:val="009B1439"/>
    <w:rsid w:val="009C537C"/>
    <w:rsid w:val="009C6EB5"/>
    <w:rsid w:val="009D0AA4"/>
    <w:rsid w:val="009D0C91"/>
    <w:rsid w:val="00A04552"/>
    <w:rsid w:val="00A6698B"/>
    <w:rsid w:val="00A71150"/>
    <w:rsid w:val="00A846CF"/>
    <w:rsid w:val="00AA5793"/>
    <w:rsid w:val="00AB42BB"/>
    <w:rsid w:val="00AD5F40"/>
    <w:rsid w:val="00AD7507"/>
    <w:rsid w:val="00AE48BA"/>
    <w:rsid w:val="00AF114C"/>
    <w:rsid w:val="00B03D4E"/>
    <w:rsid w:val="00B123E5"/>
    <w:rsid w:val="00B261E2"/>
    <w:rsid w:val="00B33DEE"/>
    <w:rsid w:val="00B406FD"/>
    <w:rsid w:val="00B6266B"/>
    <w:rsid w:val="00B64C46"/>
    <w:rsid w:val="00B74A8F"/>
    <w:rsid w:val="00B75DDB"/>
    <w:rsid w:val="00B93512"/>
    <w:rsid w:val="00BA2E60"/>
    <w:rsid w:val="00BA6EF5"/>
    <w:rsid w:val="00BC7030"/>
    <w:rsid w:val="00BC7D05"/>
    <w:rsid w:val="00BE2351"/>
    <w:rsid w:val="00BE42BB"/>
    <w:rsid w:val="00C164B8"/>
    <w:rsid w:val="00C5433B"/>
    <w:rsid w:val="00C74061"/>
    <w:rsid w:val="00C96120"/>
    <w:rsid w:val="00CB034C"/>
    <w:rsid w:val="00CB7F44"/>
    <w:rsid w:val="00CE7E1D"/>
    <w:rsid w:val="00CF0278"/>
    <w:rsid w:val="00CF4B77"/>
    <w:rsid w:val="00CF7635"/>
    <w:rsid w:val="00D16D76"/>
    <w:rsid w:val="00D37B9A"/>
    <w:rsid w:val="00D46F0F"/>
    <w:rsid w:val="00D57109"/>
    <w:rsid w:val="00D9607A"/>
    <w:rsid w:val="00DA752F"/>
    <w:rsid w:val="00DB4E9A"/>
    <w:rsid w:val="00DC0358"/>
    <w:rsid w:val="00DD0100"/>
    <w:rsid w:val="00DE7AF6"/>
    <w:rsid w:val="00DF33CF"/>
    <w:rsid w:val="00DF40AB"/>
    <w:rsid w:val="00E64402"/>
    <w:rsid w:val="00E647F6"/>
    <w:rsid w:val="00E70904"/>
    <w:rsid w:val="00E71060"/>
    <w:rsid w:val="00E86A09"/>
    <w:rsid w:val="00EA52E4"/>
    <w:rsid w:val="00EE5F24"/>
    <w:rsid w:val="00F02ED8"/>
    <w:rsid w:val="00F15FF5"/>
    <w:rsid w:val="00F252E3"/>
    <w:rsid w:val="00F51F75"/>
    <w:rsid w:val="00F53891"/>
    <w:rsid w:val="00F613B2"/>
    <w:rsid w:val="00F716AB"/>
    <w:rsid w:val="00F948CC"/>
    <w:rsid w:val="00FB3FBF"/>
    <w:rsid w:val="00FC27AD"/>
    <w:rsid w:val="00FC760E"/>
    <w:rsid w:val="00FD1274"/>
    <w:rsid w:val="00FF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632"/>
    <w:rPr>
      <w:color w:val="0563C1" w:themeColor="hyperlink"/>
      <w:u w:val="single"/>
    </w:rPr>
  </w:style>
  <w:style w:type="paragraph" w:styleId="Header">
    <w:name w:val="header"/>
    <w:basedOn w:val="Normal"/>
    <w:link w:val="HeaderChar"/>
    <w:uiPriority w:val="99"/>
    <w:unhideWhenUsed/>
    <w:rsid w:val="00C96120"/>
    <w:pPr>
      <w:tabs>
        <w:tab w:val="center" w:pos="4680"/>
        <w:tab w:val="right" w:pos="9360"/>
      </w:tabs>
    </w:pPr>
  </w:style>
  <w:style w:type="character" w:customStyle="1" w:styleId="HeaderChar">
    <w:name w:val="Header Char"/>
    <w:basedOn w:val="DefaultParagraphFont"/>
    <w:link w:val="Header"/>
    <w:uiPriority w:val="99"/>
    <w:rsid w:val="00C961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6120"/>
    <w:pPr>
      <w:tabs>
        <w:tab w:val="center" w:pos="4680"/>
        <w:tab w:val="right" w:pos="9360"/>
      </w:tabs>
    </w:pPr>
  </w:style>
  <w:style w:type="character" w:customStyle="1" w:styleId="FooterChar">
    <w:name w:val="Footer Char"/>
    <w:basedOn w:val="DefaultParagraphFont"/>
    <w:link w:val="Footer"/>
    <w:uiPriority w:val="99"/>
    <w:rsid w:val="00C961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64B"/>
    <w:rPr>
      <w:rFonts w:ascii="Tahoma" w:hAnsi="Tahoma" w:cs="Tahoma"/>
      <w:sz w:val="16"/>
      <w:szCs w:val="16"/>
    </w:rPr>
  </w:style>
  <w:style w:type="character" w:customStyle="1" w:styleId="BalloonTextChar">
    <w:name w:val="Balloon Text Char"/>
    <w:basedOn w:val="DefaultParagraphFont"/>
    <w:link w:val="BalloonText"/>
    <w:uiPriority w:val="99"/>
    <w:semiHidden/>
    <w:rsid w:val="008B064B"/>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632"/>
    <w:rPr>
      <w:color w:val="0563C1" w:themeColor="hyperlink"/>
      <w:u w:val="single"/>
    </w:rPr>
  </w:style>
  <w:style w:type="paragraph" w:styleId="Header">
    <w:name w:val="header"/>
    <w:basedOn w:val="Normal"/>
    <w:link w:val="HeaderChar"/>
    <w:uiPriority w:val="99"/>
    <w:unhideWhenUsed/>
    <w:rsid w:val="00C96120"/>
    <w:pPr>
      <w:tabs>
        <w:tab w:val="center" w:pos="4680"/>
        <w:tab w:val="right" w:pos="9360"/>
      </w:tabs>
    </w:pPr>
  </w:style>
  <w:style w:type="character" w:customStyle="1" w:styleId="HeaderChar">
    <w:name w:val="Header Char"/>
    <w:basedOn w:val="DefaultParagraphFont"/>
    <w:link w:val="Header"/>
    <w:uiPriority w:val="99"/>
    <w:rsid w:val="00C9612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6120"/>
    <w:pPr>
      <w:tabs>
        <w:tab w:val="center" w:pos="4680"/>
        <w:tab w:val="right" w:pos="9360"/>
      </w:tabs>
    </w:pPr>
  </w:style>
  <w:style w:type="character" w:customStyle="1" w:styleId="FooterChar">
    <w:name w:val="Footer Char"/>
    <w:basedOn w:val="DefaultParagraphFont"/>
    <w:link w:val="Footer"/>
    <w:uiPriority w:val="99"/>
    <w:rsid w:val="00C961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064B"/>
    <w:rPr>
      <w:rFonts w:ascii="Tahoma" w:hAnsi="Tahoma" w:cs="Tahoma"/>
      <w:sz w:val="16"/>
      <w:szCs w:val="16"/>
    </w:rPr>
  </w:style>
  <w:style w:type="character" w:customStyle="1" w:styleId="BalloonTextChar">
    <w:name w:val="Balloon Text Char"/>
    <w:basedOn w:val="DefaultParagraphFont"/>
    <w:link w:val="BalloonText"/>
    <w:uiPriority w:val="99"/>
    <w:semiHidden/>
    <w:rsid w:val="008B06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6636">
      <w:bodyDiv w:val="1"/>
      <w:marLeft w:val="0"/>
      <w:marRight w:val="0"/>
      <w:marTop w:val="0"/>
      <w:marBottom w:val="0"/>
      <w:divBdr>
        <w:top w:val="none" w:sz="0" w:space="0" w:color="auto"/>
        <w:left w:val="none" w:sz="0" w:space="0" w:color="auto"/>
        <w:bottom w:val="none" w:sz="0" w:space="0" w:color="auto"/>
        <w:right w:val="none" w:sz="0" w:space="0" w:color="auto"/>
      </w:divBdr>
      <w:divsChild>
        <w:div w:id="1630864105">
          <w:marLeft w:val="0"/>
          <w:marRight w:val="0"/>
          <w:marTop w:val="0"/>
          <w:marBottom w:val="0"/>
          <w:divBdr>
            <w:top w:val="none" w:sz="0" w:space="0" w:color="auto"/>
            <w:left w:val="none" w:sz="0" w:space="0" w:color="auto"/>
            <w:bottom w:val="none" w:sz="0" w:space="0" w:color="auto"/>
            <w:right w:val="none" w:sz="0" w:space="0" w:color="auto"/>
          </w:divBdr>
          <w:divsChild>
            <w:div w:id="4170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353">
      <w:bodyDiv w:val="1"/>
      <w:marLeft w:val="0"/>
      <w:marRight w:val="0"/>
      <w:marTop w:val="0"/>
      <w:marBottom w:val="0"/>
      <w:divBdr>
        <w:top w:val="none" w:sz="0" w:space="0" w:color="auto"/>
        <w:left w:val="none" w:sz="0" w:space="0" w:color="auto"/>
        <w:bottom w:val="none" w:sz="0" w:space="0" w:color="auto"/>
        <w:right w:val="none" w:sz="0" w:space="0" w:color="auto"/>
      </w:divBdr>
      <w:divsChild>
        <w:div w:id="1014383158">
          <w:marLeft w:val="0"/>
          <w:marRight w:val="0"/>
          <w:marTop w:val="0"/>
          <w:marBottom w:val="0"/>
          <w:divBdr>
            <w:top w:val="none" w:sz="0" w:space="0" w:color="auto"/>
            <w:left w:val="none" w:sz="0" w:space="0" w:color="auto"/>
            <w:bottom w:val="none" w:sz="0" w:space="0" w:color="auto"/>
            <w:right w:val="none" w:sz="0" w:space="0" w:color="auto"/>
          </w:divBdr>
          <w:divsChild>
            <w:div w:id="19272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4885">
      <w:bodyDiv w:val="1"/>
      <w:marLeft w:val="0"/>
      <w:marRight w:val="0"/>
      <w:marTop w:val="0"/>
      <w:marBottom w:val="0"/>
      <w:divBdr>
        <w:top w:val="none" w:sz="0" w:space="0" w:color="auto"/>
        <w:left w:val="none" w:sz="0" w:space="0" w:color="auto"/>
        <w:bottom w:val="none" w:sz="0" w:space="0" w:color="auto"/>
        <w:right w:val="none" w:sz="0" w:space="0" w:color="auto"/>
      </w:divBdr>
    </w:div>
    <w:div w:id="975262441">
      <w:bodyDiv w:val="1"/>
      <w:marLeft w:val="0"/>
      <w:marRight w:val="0"/>
      <w:marTop w:val="0"/>
      <w:marBottom w:val="0"/>
      <w:divBdr>
        <w:top w:val="none" w:sz="0" w:space="0" w:color="auto"/>
        <w:left w:val="none" w:sz="0" w:space="0" w:color="auto"/>
        <w:bottom w:val="none" w:sz="0" w:space="0" w:color="auto"/>
        <w:right w:val="none" w:sz="0" w:space="0" w:color="auto"/>
      </w:divBdr>
      <w:divsChild>
        <w:div w:id="97795438">
          <w:marLeft w:val="0"/>
          <w:marRight w:val="0"/>
          <w:marTop w:val="0"/>
          <w:marBottom w:val="0"/>
          <w:divBdr>
            <w:top w:val="none" w:sz="0" w:space="0" w:color="auto"/>
            <w:left w:val="none" w:sz="0" w:space="0" w:color="auto"/>
            <w:bottom w:val="none" w:sz="0" w:space="0" w:color="auto"/>
            <w:right w:val="none" w:sz="0" w:space="0" w:color="auto"/>
          </w:divBdr>
          <w:divsChild>
            <w:div w:id="16448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5972</Characters>
  <Application>Microsoft Macintosh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MASS</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Carey</dc:creator>
  <cp:lastModifiedBy>Pat Martin</cp:lastModifiedBy>
  <cp:revision>2</cp:revision>
  <cp:lastPrinted>2015-03-11T14:31:00Z</cp:lastPrinted>
  <dcterms:created xsi:type="dcterms:W3CDTF">2015-03-12T21:06:00Z</dcterms:created>
  <dcterms:modified xsi:type="dcterms:W3CDTF">2015-03-12T21:06:00Z</dcterms:modified>
</cp:coreProperties>
</file>