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40" w:type="dxa"/>
          <w:bottom w:w="40" w:type="dxa"/>
          <w:right w:w="40" w:type="dxa"/>
        </w:tblCellMar>
        <w:tblLook w:val="04A0" w:firstRow="1" w:lastRow="0" w:firstColumn="1" w:lastColumn="0" w:noHBand="0" w:noVBand="1"/>
      </w:tblPr>
      <w:tblGrid>
        <w:gridCol w:w="13585"/>
        <w:gridCol w:w="895"/>
      </w:tblGrid>
      <w:tr w:rsidR="00377FF7" w:rsidRPr="00377FF7" w14:paraId="2B118FCA" w14:textId="77777777" w:rsidTr="00377FF7">
        <w:trPr>
          <w:jc w:val="center"/>
        </w:trPr>
        <w:tc>
          <w:tcPr>
            <w:tcW w:w="5000" w:type="pct"/>
            <w:gridSpan w:val="2"/>
            <w:tcBorders>
              <w:right w:val="single" w:sz="6" w:space="0" w:color="auto"/>
            </w:tcBorders>
          </w:tcPr>
          <w:p w14:paraId="550B9D55" w14:textId="77777777" w:rsidR="00377FF7" w:rsidRDefault="00377FF7" w:rsidP="00F709C3">
            <w:pPr>
              <w:pStyle w:val="Element"/>
            </w:pPr>
            <w:bookmarkStart w:id="0" w:name="_GoBack"/>
            <w:bookmarkEnd w:id="0"/>
            <w:r w:rsidRPr="00377FF7">
              <w:t>STANDARD I: INSTRUCTIONAL LEADERSHIP</w:t>
            </w:r>
          </w:p>
          <w:p w14:paraId="399FADCE" w14:textId="77777777" w:rsidR="00543937" w:rsidRDefault="00543937" w:rsidP="00F709C3">
            <w:pPr>
              <w:pStyle w:val="Element"/>
            </w:pPr>
            <w:r w:rsidRPr="00EE1B9A">
              <w:t xml:space="preserve">The education leader promotes the learning and growth of all students and the success of all staff by cultivating a shared vision that makes powerful teaching and learning the </w:t>
            </w:r>
          </w:p>
          <w:p w14:paraId="3DDB8F34" w14:textId="77777777" w:rsidR="00543937" w:rsidRPr="00377FF7" w:rsidRDefault="00543937" w:rsidP="00F709C3">
            <w:pPr>
              <w:pStyle w:val="Element"/>
              <w:rPr>
                <w:rFonts w:asciiTheme="majorHAnsi" w:hAnsiTheme="majorHAnsi"/>
                <w:b/>
                <w:bCs/>
                <w:sz w:val="22"/>
                <w:szCs w:val="22"/>
              </w:rPr>
            </w:pPr>
            <w:r w:rsidRPr="00EE1B9A">
              <w:t>central focus of schooling.</w:t>
            </w:r>
          </w:p>
        </w:tc>
      </w:tr>
      <w:tr w:rsidR="00377FF7" w:rsidRPr="00377FF7" w14:paraId="619714C2" w14:textId="77777777" w:rsidTr="00377FF7">
        <w:trPr>
          <w:jc w:val="center"/>
        </w:trPr>
        <w:tc>
          <w:tcPr>
            <w:tcW w:w="4691" w:type="pct"/>
            <w:tcBorders>
              <w:right w:val="single" w:sz="6" w:space="0" w:color="auto"/>
            </w:tcBorders>
          </w:tcPr>
          <w:p w14:paraId="5BC60050" w14:textId="77777777" w:rsidR="00377FF7" w:rsidRPr="00377FF7" w:rsidRDefault="00377FF7" w:rsidP="00F709C3">
            <w:pPr>
              <w:pStyle w:val="Element"/>
              <w:rPr>
                <w:b/>
              </w:rPr>
            </w:pPr>
            <w:r w:rsidRPr="00377FF7">
              <w:rPr>
                <w:b/>
                <w:bCs/>
              </w:rPr>
              <w:t>I-A.</w:t>
            </w:r>
            <w:r w:rsidRPr="00377FF7">
              <w:rPr>
                <w:b/>
                <w:bCs/>
              </w:rPr>
              <w:tab/>
              <w:t xml:space="preserve">Curriculum: </w:t>
            </w:r>
            <w:r w:rsidRPr="00377FF7">
              <w:t>Ensures that all instructional staff design effective and rigorous standards-based units of instruction consisting of well-structured lessons with measureable outcomes.</w:t>
            </w:r>
          </w:p>
        </w:tc>
        <w:tc>
          <w:tcPr>
            <w:tcW w:w="309" w:type="pct"/>
            <w:tcBorders>
              <w:right w:val="single" w:sz="6" w:space="0" w:color="auto"/>
            </w:tcBorders>
          </w:tcPr>
          <w:p w14:paraId="5606E549" w14:textId="77777777" w:rsidR="00377FF7" w:rsidRPr="00377FF7" w:rsidRDefault="00377FF7" w:rsidP="00F709C3">
            <w:pPr>
              <w:pStyle w:val="Element"/>
            </w:pPr>
          </w:p>
        </w:tc>
      </w:tr>
      <w:tr w:rsidR="00377FF7" w:rsidRPr="00377FF7" w14:paraId="0D623923" w14:textId="77777777" w:rsidTr="00377FF7">
        <w:trPr>
          <w:jc w:val="center"/>
        </w:trPr>
        <w:tc>
          <w:tcPr>
            <w:tcW w:w="4691" w:type="pct"/>
            <w:tcBorders>
              <w:right w:val="single" w:sz="6" w:space="0" w:color="auto"/>
            </w:tcBorders>
          </w:tcPr>
          <w:p w14:paraId="7C043E40" w14:textId="77777777" w:rsidR="00377FF7" w:rsidRPr="00377FF7" w:rsidRDefault="00377FF7" w:rsidP="00F709C3">
            <w:pPr>
              <w:pStyle w:val="Element"/>
              <w:rPr>
                <w:b/>
              </w:rPr>
            </w:pPr>
            <w:r w:rsidRPr="00377FF7">
              <w:rPr>
                <w:b/>
                <w:bCs/>
              </w:rPr>
              <w:t>I-B.</w:t>
            </w:r>
            <w:r w:rsidRPr="00377FF7">
              <w:rPr>
                <w:b/>
                <w:bCs/>
              </w:rPr>
              <w:tab/>
              <w:t xml:space="preserve">Instruction: </w:t>
            </w:r>
            <w:r w:rsidRPr="00377FF7">
              <w:t>Ensures that practices in all settings reflect high expectations regarding content and quality of effort and work, engage all students, and are personalized to accommodate diverse learning styles, needs, interests, and levels of readiness.</w:t>
            </w:r>
          </w:p>
        </w:tc>
        <w:tc>
          <w:tcPr>
            <w:tcW w:w="309" w:type="pct"/>
            <w:tcBorders>
              <w:right w:val="single" w:sz="6" w:space="0" w:color="auto"/>
            </w:tcBorders>
          </w:tcPr>
          <w:p w14:paraId="49D50D0B" w14:textId="77777777" w:rsidR="00377FF7" w:rsidRPr="00377FF7" w:rsidRDefault="00377FF7" w:rsidP="00F709C3">
            <w:pPr>
              <w:pStyle w:val="Element"/>
            </w:pPr>
          </w:p>
        </w:tc>
      </w:tr>
      <w:tr w:rsidR="00377FF7" w:rsidRPr="00377FF7" w14:paraId="4312C897" w14:textId="77777777" w:rsidTr="00377FF7">
        <w:trPr>
          <w:jc w:val="center"/>
        </w:trPr>
        <w:tc>
          <w:tcPr>
            <w:tcW w:w="4691" w:type="pct"/>
            <w:tcBorders>
              <w:right w:val="single" w:sz="6" w:space="0" w:color="auto"/>
            </w:tcBorders>
          </w:tcPr>
          <w:p w14:paraId="0C36BAE6" w14:textId="77777777" w:rsidR="00377FF7" w:rsidRPr="00377FF7" w:rsidRDefault="00377FF7" w:rsidP="00F709C3">
            <w:pPr>
              <w:pStyle w:val="Element"/>
              <w:rPr>
                <w:b/>
              </w:rPr>
            </w:pPr>
            <w:r w:rsidRPr="00377FF7">
              <w:rPr>
                <w:b/>
                <w:bCs/>
              </w:rPr>
              <w:t>I-C.</w:t>
            </w:r>
            <w:r w:rsidRPr="00377FF7">
              <w:rPr>
                <w:b/>
                <w:bCs/>
              </w:rPr>
              <w:tab/>
              <w:t xml:space="preserve">Assessment: </w:t>
            </w:r>
            <w:r w:rsidRPr="00377FF7">
              <w:t xml:space="preserve">Ensures that all principals and administrators facilitate practices that propel personnel to use a variety of formal and informal methods and assessments to measure student learning, growth, and </w:t>
            </w:r>
            <w:r w:rsidRPr="00377FF7">
              <w:rPr>
                <w:w w:val="95"/>
              </w:rPr>
              <w:t>understanding</w:t>
            </w:r>
            <w:r w:rsidRPr="00377FF7">
              <w:t xml:space="preserve"> and make necessary adjustments to their practice when students are not learning.</w:t>
            </w:r>
          </w:p>
        </w:tc>
        <w:tc>
          <w:tcPr>
            <w:tcW w:w="309" w:type="pct"/>
            <w:tcBorders>
              <w:right w:val="single" w:sz="6" w:space="0" w:color="auto"/>
            </w:tcBorders>
          </w:tcPr>
          <w:p w14:paraId="2AACD276" w14:textId="77777777" w:rsidR="00377FF7" w:rsidRPr="00377FF7" w:rsidRDefault="00377FF7" w:rsidP="00F709C3">
            <w:pPr>
              <w:pStyle w:val="Element"/>
            </w:pPr>
          </w:p>
        </w:tc>
      </w:tr>
      <w:tr w:rsidR="00377FF7" w:rsidRPr="00377FF7" w14:paraId="441975C3" w14:textId="77777777" w:rsidTr="00377FF7">
        <w:trPr>
          <w:jc w:val="center"/>
        </w:trPr>
        <w:tc>
          <w:tcPr>
            <w:tcW w:w="4691" w:type="pct"/>
            <w:tcBorders>
              <w:right w:val="single" w:sz="6" w:space="0" w:color="auto"/>
            </w:tcBorders>
          </w:tcPr>
          <w:p w14:paraId="42A62CE3" w14:textId="77777777" w:rsidR="00377FF7" w:rsidRPr="00377FF7" w:rsidRDefault="00377FF7" w:rsidP="00F709C3">
            <w:pPr>
              <w:pStyle w:val="Element"/>
              <w:rPr>
                <w:b/>
              </w:rPr>
            </w:pPr>
            <w:r w:rsidRPr="00377FF7">
              <w:rPr>
                <w:b/>
              </w:rPr>
              <w:t>I-D.</w:t>
            </w:r>
            <w:r w:rsidRPr="00377FF7">
              <w:rPr>
                <w:b/>
              </w:rPr>
              <w:tab/>
              <w:t xml:space="preserve">Evaluation: </w:t>
            </w:r>
            <w:r w:rsidRPr="00377FF7">
              <w:t>Ensures effective and timely supervision and evaluation of all staff in alignment with state regulations and contract provisions.</w:t>
            </w:r>
          </w:p>
        </w:tc>
        <w:tc>
          <w:tcPr>
            <w:tcW w:w="309" w:type="pct"/>
            <w:tcBorders>
              <w:right w:val="single" w:sz="6" w:space="0" w:color="auto"/>
            </w:tcBorders>
          </w:tcPr>
          <w:p w14:paraId="7C14C6BF" w14:textId="77777777" w:rsidR="00377FF7" w:rsidRPr="00377FF7" w:rsidRDefault="00377FF7" w:rsidP="00F709C3">
            <w:pPr>
              <w:pStyle w:val="Element"/>
            </w:pPr>
          </w:p>
        </w:tc>
      </w:tr>
      <w:tr w:rsidR="00377FF7" w:rsidRPr="00377FF7" w14:paraId="3E3AC0F6" w14:textId="77777777" w:rsidTr="00377FF7">
        <w:trPr>
          <w:jc w:val="center"/>
        </w:trPr>
        <w:tc>
          <w:tcPr>
            <w:tcW w:w="4691" w:type="pct"/>
            <w:tcBorders>
              <w:bottom w:val="single" w:sz="4" w:space="0" w:color="000000"/>
              <w:right w:val="single" w:sz="6" w:space="0" w:color="auto"/>
            </w:tcBorders>
          </w:tcPr>
          <w:p w14:paraId="1FC794BB" w14:textId="77777777" w:rsidR="00377FF7" w:rsidRPr="00377FF7" w:rsidRDefault="00377FF7" w:rsidP="00F709C3">
            <w:pPr>
              <w:pStyle w:val="Element"/>
              <w:rPr>
                <w:b/>
              </w:rPr>
            </w:pPr>
            <w:r w:rsidRPr="00377FF7">
              <w:rPr>
                <w:b/>
                <w:bCs/>
              </w:rPr>
              <w:t>I-E.</w:t>
            </w:r>
            <w:r w:rsidRPr="00377FF7">
              <w:rPr>
                <w:b/>
                <w:bCs/>
              </w:rPr>
              <w:tab/>
              <w:t xml:space="preserve">Data-Informed Decision Making: </w:t>
            </w:r>
            <w:r w:rsidRPr="00377FF7">
              <w:t>Uses multiple sources of evidence related to student learning—including state, district, and school assessment results and growth data—to inform school and district goals and improve organizational performance, educator effectiveness, and student learning.</w:t>
            </w:r>
          </w:p>
        </w:tc>
        <w:tc>
          <w:tcPr>
            <w:tcW w:w="309" w:type="pct"/>
            <w:tcBorders>
              <w:bottom w:val="single" w:sz="4" w:space="0" w:color="000000"/>
              <w:right w:val="single" w:sz="6" w:space="0" w:color="auto"/>
            </w:tcBorders>
          </w:tcPr>
          <w:p w14:paraId="46A18A12" w14:textId="77777777" w:rsidR="00377FF7" w:rsidRPr="00377FF7" w:rsidRDefault="00377FF7" w:rsidP="00F709C3">
            <w:pPr>
              <w:pStyle w:val="Element"/>
            </w:pPr>
          </w:p>
        </w:tc>
      </w:tr>
    </w:tbl>
    <w:p w14:paraId="6F0970D6" w14:textId="77777777" w:rsidR="00E529A4" w:rsidRPr="00377FF7" w:rsidRDefault="00E529A4">
      <w:pPr>
        <w:rPr>
          <w:rFonts w:asciiTheme="majorHAnsi" w:hAnsiTheme="majorHAnsi"/>
          <w:sz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40" w:type="dxa"/>
          <w:bottom w:w="40" w:type="dxa"/>
          <w:right w:w="40" w:type="dxa"/>
        </w:tblCellMar>
        <w:tblLook w:val="04A0" w:firstRow="1" w:lastRow="0" w:firstColumn="1" w:lastColumn="0" w:noHBand="0" w:noVBand="1"/>
      </w:tblPr>
      <w:tblGrid>
        <w:gridCol w:w="13585"/>
        <w:gridCol w:w="895"/>
      </w:tblGrid>
      <w:tr w:rsidR="00377FF7" w:rsidRPr="00377FF7" w14:paraId="4A03DB7E" w14:textId="77777777" w:rsidTr="00377FF7">
        <w:trPr>
          <w:jc w:val="center"/>
        </w:trPr>
        <w:tc>
          <w:tcPr>
            <w:tcW w:w="5000" w:type="pct"/>
            <w:gridSpan w:val="2"/>
            <w:tcBorders>
              <w:right w:val="single" w:sz="6" w:space="0" w:color="auto"/>
            </w:tcBorders>
          </w:tcPr>
          <w:p w14:paraId="583AA8EB" w14:textId="77777777" w:rsidR="00377FF7" w:rsidRDefault="00377FF7" w:rsidP="00F709C3">
            <w:pPr>
              <w:pStyle w:val="Element"/>
            </w:pPr>
            <w:r w:rsidRPr="00377FF7">
              <w:t>STANDARD II: MANAGEMENT &amp; OPERATIONS</w:t>
            </w:r>
          </w:p>
          <w:p w14:paraId="5D6F1DDB" w14:textId="77777777" w:rsidR="00543937" w:rsidRDefault="00543937" w:rsidP="00F709C3">
            <w:pPr>
              <w:pStyle w:val="Element"/>
            </w:pPr>
            <w:r w:rsidRPr="00EE1B9A">
              <w:t xml:space="preserve">The education leader promotes the learning and growth of all students and the success of all staff by ensuring a safe, efficient, and effective learning environment, using resources </w:t>
            </w:r>
          </w:p>
          <w:p w14:paraId="0AD93646" w14:textId="77777777" w:rsidR="00E918C8" w:rsidRPr="00543937" w:rsidRDefault="00543937" w:rsidP="00F709C3">
            <w:pPr>
              <w:pStyle w:val="Element"/>
            </w:pPr>
            <w:r w:rsidRPr="00EE1B9A">
              <w:t>to implement appropriate curriculum, staffing, and scheduling</w:t>
            </w:r>
          </w:p>
        </w:tc>
      </w:tr>
      <w:tr w:rsidR="00377FF7" w:rsidRPr="00377FF7" w14:paraId="55322832" w14:textId="77777777" w:rsidTr="00377FF7">
        <w:trPr>
          <w:jc w:val="center"/>
        </w:trPr>
        <w:tc>
          <w:tcPr>
            <w:tcW w:w="4691" w:type="pct"/>
            <w:tcBorders>
              <w:right w:val="single" w:sz="6" w:space="0" w:color="auto"/>
            </w:tcBorders>
          </w:tcPr>
          <w:p w14:paraId="1108563B" w14:textId="77777777" w:rsidR="00377FF7" w:rsidRPr="00377FF7" w:rsidRDefault="00377FF7" w:rsidP="00F709C3">
            <w:pPr>
              <w:pStyle w:val="Element"/>
            </w:pPr>
            <w:r w:rsidRPr="00377FF7">
              <w:rPr>
                <w:b/>
                <w:bCs/>
              </w:rPr>
              <w:t>II-A.</w:t>
            </w:r>
            <w:r w:rsidRPr="00377FF7">
              <w:rPr>
                <w:b/>
                <w:bCs/>
              </w:rPr>
              <w:tab/>
              <w:t xml:space="preserve">Environment: </w:t>
            </w:r>
            <w:r w:rsidRPr="00377FF7">
              <w:t>Develops and executes effective plans, procedures, routines, and operational systems to address a full range of safety, health, emotional, and social needs.</w:t>
            </w:r>
          </w:p>
        </w:tc>
        <w:tc>
          <w:tcPr>
            <w:tcW w:w="309" w:type="pct"/>
            <w:tcBorders>
              <w:right w:val="single" w:sz="6" w:space="0" w:color="auto"/>
            </w:tcBorders>
          </w:tcPr>
          <w:p w14:paraId="07E0C6AA" w14:textId="77777777" w:rsidR="00377FF7" w:rsidRPr="00377FF7" w:rsidRDefault="00377FF7" w:rsidP="00F709C3">
            <w:pPr>
              <w:pStyle w:val="Element"/>
            </w:pPr>
          </w:p>
        </w:tc>
      </w:tr>
      <w:tr w:rsidR="00377FF7" w:rsidRPr="00377FF7" w14:paraId="2274D6DB" w14:textId="77777777" w:rsidTr="00377FF7">
        <w:trPr>
          <w:jc w:val="center"/>
        </w:trPr>
        <w:tc>
          <w:tcPr>
            <w:tcW w:w="4691" w:type="pct"/>
            <w:tcBorders>
              <w:right w:val="single" w:sz="6" w:space="0" w:color="auto"/>
            </w:tcBorders>
          </w:tcPr>
          <w:p w14:paraId="003CE819" w14:textId="77777777" w:rsidR="00377FF7" w:rsidRPr="00377FF7" w:rsidRDefault="00377FF7" w:rsidP="00F709C3">
            <w:pPr>
              <w:pStyle w:val="Element"/>
            </w:pPr>
            <w:r w:rsidRPr="00377FF7">
              <w:rPr>
                <w:b/>
                <w:bCs/>
              </w:rPr>
              <w:t>II-B.</w:t>
            </w:r>
            <w:r w:rsidRPr="00377FF7">
              <w:rPr>
                <w:b/>
                <w:bCs/>
              </w:rPr>
              <w:tab/>
              <w:t xml:space="preserve">Human Resources Management and Development: </w:t>
            </w:r>
            <w:r w:rsidRPr="00377FF7">
              <w:t>Implements a cohesive approach to recruiting, hiring, induction, development, and career growth that promotes high-quality and effective practice.</w:t>
            </w:r>
          </w:p>
        </w:tc>
        <w:tc>
          <w:tcPr>
            <w:tcW w:w="309" w:type="pct"/>
            <w:tcBorders>
              <w:right w:val="single" w:sz="6" w:space="0" w:color="auto"/>
            </w:tcBorders>
          </w:tcPr>
          <w:p w14:paraId="3BA0CA12" w14:textId="77777777" w:rsidR="00377FF7" w:rsidRPr="00377FF7" w:rsidRDefault="00377FF7" w:rsidP="00F709C3">
            <w:pPr>
              <w:pStyle w:val="Element"/>
            </w:pPr>
          </w:p>
        </w:tc>
      </w:tr>
      <w:tr w:rsidR="00377FF7" w:rsidRPr="00377FF7" w14:paraId="0BD9B6E9" w14:textId="77777777" w:rsidTr="00377FF7">
        <w:trPr>
          <w:jc w:val="center"/>
        </w:trPr>
        <w:tc>
          <w:tcPr>
            <w:tcW w:w="4691" w:type="pct"/>
            <w:tcBorders>
              <w:right w:val="single" w:sz="6" w:space="0" w:color="auto"/>
            </w:tcBorders>
          </w:tcPr>
          <w:p w14:paraId="776347E7" w14:textId="77777777" w:rsidR="00377FF7" w:rsidRPr="00377FF7" w:rsidRDefault="00377FF7" w:rsidP="00F709C3">
            <w:pPr>
              <w:pStyle w:val="Element"/>
            </w:pPr>
            <w:r w:rsidRPr="00377FF7">
              <w:rPr>
                <w:b/>
                <w:bCs/>
              </w:rPr>
              <w:t>II-C.</w:t>
            </w:r>
            <w:r w:rsidRPr="00377FF7">
              <w:rPr>
                <w:b/>
                <w:bCs/>
              </w:rPr>
              <w:tab/>
              <w:t xml:space="preserve">Scheduling and Management Information Systems: </w:t>
            </w:r>
            <w:r w:rsidRPr="00377FF7">
              <w:t xml:space="preserve">Uses systems to ensure optimal use of data and time for teaching, learning, and collaboration, minimizing disruptions and distractions for school-level staff. </w:t>
            </w:r>
          </w:p>
        </w:tc>
        <w:tc>
          <w:tcPr>
            <w:tcW w:w="309" w:type="pct"/>
            <w:tcBorders>
              <w:right w:val="single" w:sz="6" w:space="0" w:color="auto"/>
            </w:tcBorders>
          </w:tcPr>
          <w:p w14:paraId="36CA5989" w14:textId="77777777" w:rsidR="00377FF7" w:rsidRPr="00377FF7" w:rsidRDefault="00377FF7" w:rsidP="00F709C3">
            <w:pPr>
              <w:pStyle w:val="Element"/>
            </w:pPr>
          </w:p>
        </w:tc>
      </w:tr>
      <w:tr w:rsidR="00377FF7" w:rsidRPr="00377FF7" w14:paraId="07DCED76" w14:textId="77777777" w:rsidTr="00377FF7">
        <w:trPr>
          <w:jc w:val="center"/>
        </w:trPr>
        <w:tc>
          <w:tcPr>
            <w:tcW w:w="4691" w:type="pct"/>
            <w:tcBorders>
              <w:right w:val="single" w:sz="6" w:space="0" w:color="auto"/>
            </w:tcBorders>
          </w:tcPr>
          <w:p w14:paraId="3A4ACFD4" w14:textId="77777777" w:rsidR="00377FF7" w:rsidRPr="00377FF7" w:rsidRDefault="00377FF7" w:rsidP="00F709C3">
            <w:pPr>
              <w:pStyle w:val="Element"/>
              <w:rPr>
                <w:b/>
              </w:rPr>
            </w:pPr>
            <w:r w:rsidRPr="00377FF7">
              <w:rPr>
                <w:b/>
              </w:rPr>
              <w:t>II-D.</w:t>
            </w:r>
            <w:r w:rsidRPr="00377FF7">
              <w:rPr>
                <w:b/>
              </w:rPr>
              <w:tab/>
              <w:t xml:space="preserve">Law, Ethics, and Policies: </w:t>
            </w:r>
            <w:r w:rsidRPr="00377FF7">
              <w:t>Understands and complies with state and federal laws and mandates, school committee policies, collective bargaining agreements, and ethical guidelines.</w:t>
            </w:r>
          </w:p>
        </w:tc>
        <w:tc>
          <w:tcPr>
            <w:tcW w:w="309" w:type="pct"/>
            <w:tcBorders>
              <w:right w:val="single" w:sz="6" w:space="0" w:color="auto"/>
            </w:tcBorders>
          </w:tcPr>
          <w:p w14:paraId="6313C0EB" w14:textId="77777777" w:rsidR="00377FF7" w:rsidRPr="00377FF7" w:rsidRDefault="00377FF7" w:rsidP="00F709C3">
            <w:pPr>
              <w:pStyle w:val="Element"/>
            </w:pPr>
          </w:p>
        </w:tc>
      </w:tr>
      <w:tr w:rsidR="00377FF7" w:rsidRPr="00377FF7" w14:paraId="53D39E19" w14:textId="77777777" w:rsidTr="00377FF7">
        <w:trPr>
          <w:jc w:val="center"/>
        </w:trPr>
        <w:tc>
          <w:tcPr>
            <w:tcW w:w="4691" w:type="pct"/>
            <w:tcBorders>
              <w:bottom w:val="single" w:sz="4" w:space="0" w:color="000000"/>
              <w:right w:val="single" w:sz="6" w:space="0" w:color="auto"/>
            </w:tcBorders>
          </w:tcPr>
          <w:p w14:paraId="418E8589" w14:textId="77777777" w:rsidR="00377FF7" w:rsidRPr="00377FF7" w:rsidRDefault="00377FF7" w:rsidP="00F709C3">
            <w:pPr>
              <w:pStyle w:val="Element"/>
            </w:pPr>
            <w:r w:rsidRPr="00377FF7">
              <w:rPr>
                <w:b/>
                <w:bCs/>
              </w:rPr>
              <w:t>II-E.</w:t>
            </w:r>
            <w:r w:rsidRPr="00377FF7">
              <w:rPr>
                <w:b/>
                <w:bCs/>
              </w:rPr>
              <w:tab/>
              <w:t xml:space="preserve">Fiscal Systems: </w:t>
            </w:r>
            <w:r w:rsidRPr="00377FF7">
              <w:t xml:space="preserve">Develops a budget that supports the district’s vision, mission, and goals; allocates and manages expenditures consistent with district- and school-level goals and available resources. </w:t>
            </w:r>
          </w:p>
        </w:tc>
        <w:tc>
          <w:tcPr>
            <w:tcW w:w="309" w:type="pct"/>
            <w:tcBorders>
              <w:bottom w:val="single" w:sz="4" w:space="0" w:color="000000"/>
              <w:right w:val="single" w:sz="6" w:space="0" w:color="auto"/>
            </w:tcBorders>
          </w:tcPr>
          <w:p w14:paraId="13A59F0E" w14:textId="77777777" w:rsidR="00377FF7" w:rsidRPr="00377FF7" w:rsidRDefault="00377FF7" w:rsidP="00F709C3">
            <w:pPr>
              <w:pStyle w:val="Element"/>
            </w:pPr>
          </w:p>
        </w:tc>
      </w:tr>
    </w:tbl>
    <w:p w14:paraId="7864FFE4" w14:textId="77777777" w:rsidR="00F709C3" w:rsidRDefault="00F709C3">
      <w:pPr>
        <w:rPr>
          <w:rFonts w:asciiTheme="majorHAnsi" w:hAnsiTheme="majorHAnsi"/>
          <w:sz w:val="22"/>
        </w:rPr>
      </w:pPr>
    </w:p>
    <w:p w14:paraId="55B9D3B9" w14:textId="77777777" w:rsidR="00F709C3" w:rsidRDefault="00F709C3">
      <w:pPr>
        <w:spacing w:before="0" w:after="0" w:line="240" w:lineRule="auto"/>
        <w:rPr>
          <w:rFonts w:asciiTheme="majorHAnsi" w:hAnsiTheme="majorHAnsi"/>
          <w:sz w:val="22"/>
        </w:rPr>
      </w:pPr>
      <w:r>
        <w:rPr>
          <w:rFonts w:asciiTheme="majorHAnsi" w:hAnsiTheme="majorHAnsi"/>
          <w:sz w:val="22"/>
        </w:rPr>
        <w:br w:type="page"/>
      </w:r>
    </w:p>
    <w:p w14:paraId="54FC50D3" w14:textId="77777777" w:rsidR="00377FF7" w:rsidRPr="00377FF7" w:rsidRDefault="00377FF7">
      <w:pPr>
        <w:rPr>
          <w:rFonts w:asciiTheme="majorHAnsi" w:hAnsiTheme="majorHAnsi"/>
          <w:sz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40" w:type="dxa"/>
          <w:bottom w:w="40" w:type="dxa"/>
          <w:right w:w="40" w:type="dxa"/>
        </w:tblCellMar>
        <w:tblLook w:val="04A0" w:firstRow="1" w:lastRow="0" w:firstColumn="1" w:lastColumn="0" w:noHBand="0" w:noVBand="1"/>
      </w:tblPr>
      <w:tblGrid>
        <w:gridCol w:w="13585"/>
        <w:gridCol w:w="895"/>
      </w:tblGrid>
      <w:tr w:rsidR="00377FF7" w:rsidRPr="00377FF7" w14:paraId="441D268A" w14:textId="77777777" w:rsidTr="00377FF7">
        <w:trPr>
          <w:jc w:val="center"/>
        </w:trPr>
        <w:tc>
          <w:tcPr>
            <w:tcW w:w="5000" w:type="pct"/>
            <w:gridSpan w:val="2"/>
            <w:tcBorders>
              <w:right w:val="single" w:sz="6" w:space="0" w:color="auto"/>
            </w:tcBorders>
          </w:tcPr>
          <w:p w14:paraId="6EB588B7" w14:textId="77777777" w:rsidR="00377FF7" w:rsidRDefault="00377FF7" w:rsidP="00F709C3">
            <w:pPr>
              <w:pStyle w:val="Element"/>
            </w:pPr>
            <w:r w:rsidRPr="00377FF7">
              <w:t>STANDARD III: FAMILY &amp; COMMUNITY ENGAGEMENT</w:t>
            </w:r>
          </w:p>
          <w:p w14:paraId="454ABB0F" w14:textId="77777777" w:rsidR="00543937" w:rsidRDefault="00543937" w:rsidP="00F709C3">
            <w:pPr>
              <w:pStyle w:val="Element"/>
            </w:pPr>
            <w:r w:rsidRPr="00176C9C">
              <w:t>The education leader promotes the learning and growth of all students and the success of all staff through effective partnerships with families, com</w:t>
            </w:r>
            <w:r>
              <w:t xml:space="preserve">munity organizations, and other </w:t>
            </w:r>
          </w:p>
          <w:p w14:paraId="5EF6FB8D" w14:textId="77777777" w:rsidR="00543937" w:rsidRPr="00377FF7" w:rsidRDefault="00543937" w:rsidP="00F709C3">
            <w:pPr>
              <w:pStyle w:val="Element"/>
              <w:rPr>
                <w:rFonts w:asciiTheme="majorHAnsi" w:hAnsiTheme="majorHAnsi"/>
                <w:b/>
                <w:bCs/>
                <w:sz w:val="22"/>
                <w:szCs w:val="22"/>
              </w:rPr>
            </w:pPr>
            <w:r w:rsidRPr="00176C9C">
              <w:t>stakeholders that support the mission of the district and its schools.</w:t>
            </w:r>
          </w:p>
        </w:tc>
      </w:tr>
      <w:tr w:rsidR="00377FF7" w:rsidRPr="00377FF7" w14:paraId="43C8D462" w14:textId="77777777" w:rsidTr="00377FF7">
        <w:trPr>
          <w:jc w:val="center"/>
        </w:trPr>
        <w:tc>
          <w:tcPr>
            <w:tcW w:w="4691" w:type="pct"/>
            <w:tcBorders>
              <w:right w:val="single" w:sz="6" w:space="0" w:color="auto"/>
            </w:tcBorders>
          </w:tcPr>
          <w:p w14:paraId="2D5C5F90" w14:textId="77777777" w:rsidR="00377FF7" w:rsidRPr="00377FF7" w:rsidRDefault="00377FF7" w:rsidP="00F709C3">
            <w:pPr>
              <w:pStyle w:val="Element"/>
            </w:pPr>
            <w:r w:rsidRPr="00377FF7">
              <w:rPr>
                <w:b/>
                <w:bCs/>
              </w:rPr>
              <w:t>III-A.</w:t>
            </w:r>
            <w:r w:rsidRPr="00377FF7">
              <w:rPr>
                <w:b/>
                <w:bCs/>
              </w:rPr>
              <w:tab/>
              <w:t xml:space="preserve">Engagement: </w:t>
            </w:r>
            <w:r w:rsidRPr="00377FF7">
              <w:t>Actively ensures that all families are welcome members of the classroom and school community and can contribute to the effectiveness of the classroom, school,</w:t>
            </w:r>
            <w:r w:rsidRPr="00377FF7">
              <w:rPr>
                <w:b/>
                <w:color w:val="000080"/>
              </w:rPr>
              <w:t xml:space="preserve"> </w:t>
            </w:r>
            <w:r w:rsidRPr="00377FF7">
              <w:t>district, and community.</w:t>
            </w:r>
          </w:p>
        </w:tc>
        <w:tc>
          <w:tcPr>
            <w:tcW w:w="309" w:type="pct"/>
            <w:tcBorders>
              <w:right w:val="single" w:sz="6" w:space="0" w:color="auto"/>
            </w:tcBorders>
          </w:tcPr>
          <w:p w14:paraId="4BCAF293" w14:textId="77777777" w:rsidR="00377FF7" w:rsidRPr="00377FF7" w:rsidRDefault="00377FF7" w:rsidP="00F709C3">
            <w:pPr>
              <w:pStyle w:val="Element"/>
            </w:pPr>
          </w:p>
        </w:tc>
      </w:tr>
      <w:tr w:rsidR="00377FF7" w:rsidRPr="00377FF7" w14:paraId="0659DC8D" w14:textId="77777777" w:rsidTr="00377FF7">
        <w:trPr>
          <w:jc w:val="center"/>
        </w:trPr>
        <w:tc>
          <w:tcPr>
            <w:tcW w:w="4691" w:type="pct"/>
            <w:tcBorders>
              <w:right w:val="single" w:sz="6" w:space="0" w:color="auto"/>
            </w:tcBorders>
          </w:tcPr>
          <w:p w14:paraId="0A888B6C" w14:textId="77777777" w:rsidR="00377FF7" w:rsidRPr="00377FF7" w:rsidRDefault="00377FF7" w:rsidP="00F709C3">
            <w:pPr>
              <w:pStyle w:val="Element"/>
            </w:pPr>
            <w:r w:rsidRPr="00377FF7">
              <w:rPr>
                <w:b/>
                <w:bCs/>
              </w:rPr>
              <w:t>III-B.</w:t>
            </w:r>
            <w:r w:rsidRPr="00377FF7">
              <w:rPr>
                <w:b/>
                <w:bCs/>
              </w:rPr>
              <w:tab/>
              <w:t xml:space="preserve">Sharing Responsibility: </w:t>
            </w:r>
            <w:r w:rsidRPr="00377FF7">
              <w:t xml:space="preserve">Continuously collaborates with families and community stakeholders to support student learning and development at home, school, and in the community. </w:t>
            </w:r>
          </w:p>
        </w:tc>
        <w:tc>
          <w:tcPr>
            <w:tcW w:w="309" w:type="pct"/>
            <w:tcBorders>
              <w:right w:val="single" w:sz="6" w:space="0" w:color="auto"/>
            </w:tcBorders>
          </w:tcPr>
          <w:p w14:paraId="33595D37" w14:textId="77777777" w:rsidR="00377FF7" w:rsidRPr="00377FF7" w:rsidRDefault="00377FF7" w:rsidP="00F709C3">
            <w:pPr>
              <w:pStyle w:val="Element"/>
            </w:pPr>
          </w:p>
        </w:tc>
      </w:tr>
      <w:tr w:rsidR="00377FF7" w:rsidRPr="00377FF7" w14:paraId="16AAD426" w14:textId="77777777" w:rsidTr="00377FF7">
        <w:trPr>
          <w:jc w:val="center"/>
        </w:trPr>
        <w:tc>
          <w:tcPr>
            <w:tcW w:w="4691" w:type="pct"/>
            <w:tcBorders>
              <w:right w:val="single" w:sz="6" w:space="0" w:color="auto"/>
            </w:tcBorders>
          </w:tcPr>
          <w:p w14:paraId="406ED155" w14:textId="77777777" w:rsidR="00377FF7" w:rsidRPr="00377FF7" w:rsidRDefault="00377FF7" w:rsidP="00F709C3">
            <w:pPr>
              <w:pStyle w:val="Element"/>
            </w:pPr>
            <w:r w:rsidRPr="00377FF7">
              <w:rPr>
                <w:b/>
                <w:bCs/>
              </w:rPr>
              <w:t>III-C.</w:t>
            </w:r>
            <w:r w:rsidRPr="00377FF7">
              <w:rPr>
                <w:b/>
                <w:bCs/>
              </w:rPr>
              <w:tab/>
              <w:t xml:space="preserve">Communication: </w:t>
            </w:r>
            <w:r w:rsidRPr="00377FF7">
              <w:t>Engages in regular, two-way, culturally proficient communication with families and community stakeholders about student learning and performance.</w:t>
            </w:r>
          </w:p>
        </w:tc>
        <w:tc>
          <w:tcPr>
            <w:tcW w:w="309" w:type="pct"/>
            <w:tcBorders>
              <w:right w:val="single" w:sz="6" w:space="0" w:color="auto"/>
            </w:tcBorders>
          </w:tcPr>
          <w:p w14:paraId="766187FC" w14:textId="77777777" w:rsidR="00377FF7" w:rsidRPr="00377FF7" w:rsidRDefault="00377FF7" w:rsidP="00F709C3">
            <w:pPr>
              <w:pStyle w:val="Element"/>
            </w:pPr>
          </w:p>
        </w:tc>
      </w:tr>
      <w:tr w:rsidR="00377FF7" w:rsidRPr="00377FF7" w14:paraId="7D063DD6" w14:textId="77777777" w:rsidTr="00377FF7">
        <w:trPr>
          <w:jc w:val="center"/>
        </w:trPr>
        <w:tc>
          <w:tcPr>
            <w:tcW w:w="4691" w:type="pct"/>
            <w:tcBorders>
              <w:right w:val="single" w:sz="6" w:space="0" w:color="auto"/>
            </w:tcBorders>
          </w:tcPr>
          <w:p w14:paraId="32996430" w14:textId="77777777" w:rsidR="00377FF7" w:rsidRPr="00377FF7" w:rsidRDefault="00377FF7" w:rsidP="00F709C3">
            <w:pPr>
              <w:pStyle w:val="Element"/>
              <w:rPr>
                <w:b/>
              </w:rPr>
            </w:pPr>
            <w:r w:rsidRPr="00377FF7">
              <w:rPr>
                <w:b/>
              </w:rPr>
              <w:t>III-D.</w:t>
            </w:r>
            <w:r w:rsidRPr="00377FF7">
              <w:rPr>
                <w:b/>
              </w:rPr>
              <w:tab/>
              <w:t xml:space="preserve">Family Concerns: </w:t>
            </w:r>
            <w:r w:rsidRPr="00377FF7">
              <w:t>Addresses family and community concerns in an equitable, effective, and efficient manner.</w:t>
            </w:r>
          </w:p>
        </w:tc>
        <w:tc>
          <w:tcPr>
            <w:tcW w:w="309" w:type="pct"/>
            <w:tcBorders>
              <w:right w:val="single" w:sz="6" w:space="0" w:color="auto"/>
            </w:tcBorders>
          </w:tcPr>
          <w:p w14:paraId="41A5499F" w14:textId="77777777" w:rsidR="00377FF7" w:rsidRPr="00377FF7" w:rsidRDefault="00377FF7" w:rsidP="00F709C3">
            <w:pPr>
              <w:pStyle w:val="Element"/>
            </w:pPr>
          </w:p>
        </w:tc>
      </w:tr>
    </w:tbl>
    <w:p w14:paraId="737F3C37" w14:textId="77777777" w:rsidR="00377FF7" w:rsidRPr="00377FF7" w:rsidRDefault="00377FF7">
      <w:pPr>
        <w:rPr>
          <w:rFonts w:asciiTheme="majorHAnsi" w:hAnsiTheme="majorHAnsi"/>
          <w:sz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40" w:type="dxa"/>
          <w:bottom w:w="40" w:type="dxa"/>
          <w:right w:w="40" w:type="dxa"/>
        </w:tblCellMar>
        <w:tblLook w:val="04A0" w:firstRow="1" w:lastRow="0" w:firstColumn="1" w:lastColumn="0" w:noHBand="0" w:noVBand="1"/>
      </w:tblPr>
      <w:tblGrid>
        <w:gridCol w:w="13585"/>
        <w:gridCol w:w="895"/>
      </w:tblGrid>
      <w:tr w:rsidR="00377FF7" w:rsidRPr="00377FF7" w14:paraId="2340A5B9" w14:textId="77777777" w:rsidTr="00377FF7">
        <w:trPr>
          <w:jc w:val="center"/>
        </w:trPr>
        <w:tc>
          <w:tcPr>
            <w:tcW w:w="5000" w:type="pct"/>
            <w:gridSpan w:val="2"/>
            <w:tcBorders>
              <w:right w:val="single" w:sz="8" w:space="0" w:color="auto"/>
            </w:tcBorders>
          </w:tcPr>
          <w:p w14:paraId="73360562" w14:textId="77777777" w:rsidR="00377FF7" w:rsidRDefault="00377FF7" w:rsidP="00F709C3">
            <w:pPr>
              <w:pStyle w:val="Element"/>
            </w:pPr>
            <w:r w:rsidRPr="00377FF7">
              <w:t>STANDARD IV: PROFESSIONAL CULTURE</w:t>
            </w:r>
          </w:p>
          <w:p w14:paraId="7A798718" w14:textId="77777777" w:rsidR="00377FF7" w:rsidRPr="00377FF7" w:rsidRDefault="00377FF7" w:rsidP="00F709C3">
            <w:pPr>
              <w:pStyle w:val="Element"/>
              <w:rPr>
                <w:rFonts w:asciiTheme="majorHAnsi" w:hAnsiTheme="majorHAnsi"/>
                <w:b/>
                <w:bCs/>
                <w:sz w:val="22"/>
                <w:szCs w:val="22"/>
              </w:rPr>
            </w:pPr>
            <w:r w:rsidRPr="00226C75">
              <w:t xml:space="preserve">The education leader promotes the learning and growth of all students and the success of all staff by nurturing and sustaining a districtwide </w:t>
            </w:r>
            <w:r>
              <w:t xml:space="preserve">culture of reflective practice, </w:t>
            </w:r>
            <w:r w:rsidRPr="00226C75">
              <w:t>high expectations, and continuous learning for staff.</w:t>
            </w:r>
          </w:p>
        </w:tc>
      </w:tr>
      <w:tr w:rsidR="00377FF7" w:rsidRPr="00377FF7" w14:paraId="6F72BDF7" w14:textId="77777777" w:rsidTr="00377FF7">
        <w:trPr>
          <w:jc w:val="center"/>
        </w:trPr>
        <w:tc>
          <w:tcPr>
            <w:tcW w:w="4691" w:type="pct"/>
            <w:tcBorders>
              <w:right w:val="single" w:sz="8" w:space="0" w:color="auto"/>
            </w:tcBorders>
          </w:tcPr>
          <w:p w14:paraId="02226362" w14:textId="77777777" w:rsidR="00377FF7" w:rsidRPr="00377FF7" w:rsidRDefault="00377FF7" w:rsidP="00F709C3">
            <w:pPr>
              <w:pStyle w:val="Element"/>
            </w:pPr>
            <w:r w:rsidRPr="00377FF7">
              <w:rPr>
                <w:b/>
                <w:bCs/>
              </w:rPr>
              <w:t>IV-A.</w:t>
            </w:r>
            <w:r w:rsidRPr="00377FF7">
              <w:rPr>
                <w:b/>
                <w:bCs/>
              </w:rPr>
              <w:tab/>
              <w:t xml:space="preserve">Commitment to High Standards: </w:t>
            </w:r>
            <w:r w:rsidRPr="00377FF7">
              <w:t>Fosters a shared commitment to high standards of service, teaching, and learning with high expectations for achievement for all.</w:t>
            </w:r>
          </w:p>
        </w:tc>
        <w:tc>
          <w:tcPr>
            <w:tcW w:w="309" w:type="pct"/>
            <w:tcBorders>
              <w:right w:val="single" w:sz="8" w:space="0" w:color="auto"/>
            </w:tcBorders>
          </w:tcPr>
          <w:p w14:paraId="7C4B4A6A" w14:textId="77777777" w:rsidR="00377FF7" w:rsidRPr="00377FF7" w:rsidRDefault="00377FF7" w:rsidP="00F709C3">
            <w:pPr>
              <w:pStyle w:val="Element"/>
            </w:pPr>
          </w:p>
        </w:tc>
      </w:tr>
      <w:tr w:rsidR="00377FF7" w:rsidRPr="00377FF7" w14:paraId="6CBAED35" w14:textId="77777777" w:rsidTr="00377FF7">
        <w:trPr>
          <w:jc w:val="center"/>
        </w:trPr>
        <w:tc>
          <w:tcPr>
            <w:tcW w:w="4691" w:type="pct"/>
            <w:tcBorders>
              <w:right w:val="single" w:sz="8" w:space="0" w:color="auto"/>
            </w:tcBorders>
          </w:tcPr>
          <w:p w14:paraId="1FEEAE6F" w14:textId="77777777" w:rsidR="00377FF7" w:rsidRPr="00377FF7" w:rsidRDefault="00377FF7" w:rsidP="00F709C3">
            <w:pPr>
              <w:pStyle w:val="Element"/>
            </w:pPr>
            <w:r w:rsidRPr="00377FF7">
              <w:rPr>
                <w:b/>
                <w:bCs/>
              </w:rPr>
              <w:t>IV-B.</w:t>
            </w:r>
            <w:r w:rsidRPr="00377FF7">
              <w:rPr>
                <w:b/>
                <w:bCs/>
              </w:rPr>
              <w:tab/>
              <w:t xml:space="preserve">Cultural Proficiency: </w:t>
            </w:r>
            <w:r w:rsidRPr="00377FF7">
              <w:t>Ensures that policies and practices enable staff members and students to interact effectively in a culturally diverse environment in which students’ backgrounds, identities, strengths, and challenges are respected.</w:t>
            </w:r>
          </w:p>
        </w:tc>
        <w:tc>
          <w:tcPr>
            <w:tcW w:w="309" w:type="pct"/>
            <w:tcBorders>
              <w:right w:val="single" w:sz="8" w:space="0" w:color="auto"/>
            </w:tcBorders>
          </w:tcPr>
          <w:p w14:paraId="22A69BFD" w14:textId="77777777" w:rsidR="00377FF7" w:rsidRPr="00377FF7" w:rsidRDefault="00377FF7" w:rsidP="00F709C3">
            <w:pPr>
              <w:pStyle w:val="Element"/>
            </w:pPr>
          </w:p>
        </w:tc>
      </w:tr>
      <w:tr w:rsidR="00377FF7" w:rsidRPr="00377FF7" w14:paraId="1C6483A3" w14:textId="77777777" w:rsidTr="00377FF7">
        <w:trPr>
          <w:jc w:val="center"/>
        </w:trPr>
        <w:tc>
          <w:tcPr>
            <w:tcW w:w="4691" w:type="pct"/>
            <w:tcBorders>
              <w:right w:val="single" w:sz="8" w:space="0" w:color="auto"/>
            </w:tcBorders>
            <w:vAlign w:val="center"/>
          </w:tcPr>
          <w:p w14:paraId="5A2B0236" w14:textId="77777777" w:rsidR="00377FF7" w:rsidRPr="00377FF7" w:rsidRDefault="00377FF7" w:rsidP="00F709C3">
            <w:pPr>
              <w:pStyle w:val="Element"/>
            </w:pPr>
            <w:r w:rsidRPr="00377FF7">
              <w:rPr>
                <w:b/>
                <w:bCs/>
              </w:rPr>
              <w:t>IV-C.</w:t>
            </w:r>
            <w:r w:rsidRPr="00377FF7">
              <w:rPr>
                <w:b/>
                <w:bCs/>
              </w:rPr>
              <w:tab/>
              <w:t xml:space="preserve">Communication: </w:t>
            </w:r>
            <w:r w:rsidRPr="00377FF7">
              <w:t>Demonstrates strong interpersonal, written, and verbal communication skills.</w:t>
            </w:r>
          </w:p>
        </w:tc>
        <w:tc>
          <w:tcPr>
            <w:tcW w:w="309" w:type="pct"/>
            <w:tcBorders>
              <w:right w:val="single" w:sz="8" w:space="0" w:color="auto"/>
            </w:tcBorders>
          </w:tcPr>
          <w:p w14:paraId="3F00CA7A" w14:textId="77777777" w:rsidR="00377FF7" w:rsidRPr="00377FF7" w:rsidRDefault="00377FF7" w:rsidP="00F709C3">
            <w:pPr>
              <w:pStyle w:val="Element"/>
            </w:pPr>
          </w:p>
        </w:tc>
      </w:tr>
      <w:tr w:rsidR="00377FF7" w:rsidRPr="00377FF7" w14:paraId="2E18A6FC" w14:textId="77777777" w:rsidTr="00377FF7">
        <w:trPr>
          <w:jc w:val="center"/>
        </w:trPr>
        <w:tc>
          <w:tcPr>
            <w:tcW w:w="4691" w:type="pct"/>
            <w:tcBorders>
              <w:right w:val="single" w:sz="8" w:space="0" w:color="auto"/>
            </w:tcBorders>
          </w:tcPr>
          <w:p w14:paraId="571ACB78" w14:textId="77777777" w:rsidR="00377FF7" w:rsidRPr="00377FF7" w:rsidRDefault="00377FF7" w:rsidP="00F709C3">
            <w:pPr>
              <w:pStyle w:val="Element"/>
              <w:rPr>
                <w:b/>
              </w:rPr>
            </w:pPr>
            <w:r w:rsidRPr="00377FF7">
              <w:rPr>
                <w:b/>
              </w:rPr>
              <w:t>IV-D.</w:t>
            </w:r>
            <w:r w:rsidRPr="00377FF7">
              <w:rPr>
                <w:b/>
              </w:rPr>
              <w:tab/>
              <w:t xml:space="preserve">Continuous Learning: </w:t>
            </w:r>
            <w:r w:rsidRPr="00377FF7">
              <w:t>Develops and nurtures a culture in which staff members are reflective about their practice and use student data, current research, best practices, and theory to continuously adapt practice and achieve improved results. Models these behaviors in his or her own practice.</w:t>
            </w:r>
          </w:p>
        </w:tc>
        <w:tc>
          <w:tcPr>
            <w:tcW w:w="309" w:type="pct"/>
            <w:tcBorders>
              <w:right w:val="single" w:sz="8" w:space="0" w:color="auto"/>
            </w:tcBorders>
          </w:tcPr>
          <w:p w14:paraId="39FCB0D5" w14:textId="77777777" w:rsidR="00377FF7" w:rsidRPr="00377FF7" w:rsidRDefault="00377FF7" w:rsidP="00F709C3">
            <w:pPr>
              <w:pStyle w:val="Element"/>
            </w:pPr>
          </w:p>
        </w:tc>
      </w:tr>
      <w:tr w:rsidR="00377FF7" w:rsidRPr="00377FF7" w14:paraId="14C0FF2C" w14:textId="77777777" w:rsidTr="00377FF7">
        <w:trPr>
          <w:jc w:val="center"/>
        </w:trPr>
        <w:tc>
          <w:tcPr>
            <w:tcW w:w="4691" w:type="pct"/>
            <w:tcBorders>
              <w:bottom w:val="single" w:sz="4" w:space="0" w:color="000000"/>
              <w:right w:val="single" w:sz="8" w:space="0" w:color="auto"/>
            </w:tcBorders>
          </w:tcPr>
          <w:p w14:paraId="02CACF97" w14:textId="77777777" w:rsidR="00377FF7" w:rsidRPr="00377FF7" w:rsidRDefault="00377FF7" w:rsidP="00F709C3">
            <w:pPr>
              <w:pStyle w:val="Element"/>
              <w:rPr>
                <w:b/>
              </w:rPr>
            </w:pPr>
            <w:r w:rsidRPr="00377FF7">
              <w:rPr>
                <w:b/>
              </w:rPr>
              <w:t>IV-E.</w:t>
            </w:r>
            <w:r w:rsidRPr="00377FF7">
              <w:rPr>
                <w:b/>
              </w:rPr>
              <w:tab/>
              <w:t xml:space="preserve">Shared Vision: </w:t>
            </w:r>
            <w:r w:rsidRPr="00377FF7">
              <w:t>Successfully and continuously engages all stakeholders in the creation of a shared educational vision in which every student is prepared to succeed in postsecondary education and become a responsible citizen and global contributor.</w:t>
            </w:r>
          </w:p>
        </w:tc>
        <w:tc>
          <w:tcPr>
            <w:tcW w:w="309" w:type="pct"/>
            <w:tcBorders>
              <w:bottom w:val="single" w:sz="4" w:space="0" w:color="000000"/>
              <w:right w:val="single" w:sz="8" w:space="0" w:color="auto"/>
            </w:tcBorders>
          </w:tcPr>
          <w:p w14:paraId="398A969E" w14:textId="77777777" w:rsidR="00377FF7" w:rsidRPr="00377FF7" w:rsidRDefault="00377FF7" w:rsidP="00F709C3">
            <w:pPr>
              <w:pStyle w:val="Element"/>
            </w:pPr>
          </w:p>
        </w:tc>
      </w:tr>
      <w:tr w:rsidR="00377FF7" w:rsidRPr="00377FF7" w14:paraId="6A9C99CC" w14:textId="77777777" w:rsidTr="00377FF7">
        <w:trPr>
          <w:jc w:val="center"/>
        </w:trPr>
        <w:tc>
          <w:tcPr>
            <w:tcW w:w="4691" w:type="pct"/>
            <w:tcBorders>
              <w:bottom w:val="single" w:sz="4" w:space="0" w:color="000000"/>
              <w:right w:val="single" w:sz="8" w:space="0" w:color="auto"/>
            </w:tcBorders>
          </w:tcPr>
          <w:p w14:paraId="4B0A084F" w14:textId="77777777" w:rsidR="00377FF7" w:rsidRPr="00377FF7" w:rsidRDefault="00377FF7" w:rsidP="00F709C3">
            <w:pPr>
              <w:pStyle w:val="Element"/>
            </w:pPr>
            <w:r w:rsidRPr="00377FF7">
              <w:rPr>
                <w:b/>
                <w:bCs/>
              </w:rPr>
              <w:t>IV-F.</w:t>
            </w:r>
            <w:r w:rsidRPr="00377FF7">
              <w:rPr>
                <w:b/>
                <w:bCs/>
              </w:rPr>
              <w:tab/>
              <w:t xml:space="preserve">Managing Conflict: </w:t>
            </w:r>
            <w:r w:rsidRPr="00377FF7">
              <w:t>Employs strategies for responding to disagreement and dissent, constructively resolving conflict and building consensus throughout a district or school community.</w:t>
            </w:r>
          </w:p>
        </w:tc>
        <w:tc>
          <w:tcPr>
            <w:tcW w:w="309" w:type="pct"/>
            <w:tcBorders>
              <w:bottom w:val="single" w:sz="4" w:space="0" w:color="000000"/>
              <w:right w:val="single" w:sz="8" w:space="0" w:color="auto"/>
            </w:tcBorders>
          </w:tcPr>
          <w:p w14:paraId="5AEDA9EC" w14:textId="77777777" w:rsidR="00377FF7" w:rsidRPr="00377FF7" w:rsidRDefault="00377FF7" w:rsidP="00F709C3">
            <w:pPr>
              <w:pStyle w:val="Element"/>
            </w:pPr>
          </w:p>
        </w:tc>
      </w:tr>
    </w:tbl>
    <w:p w14:paraId="14C529DD" w14:textId="77777777" w:rsidR="00377FF7" w:rsidRDefault="00377FF7"/>
    <w:sectPr w:rsidR="00377FF7" w:rsidSect="00E918C8">
      <w:headerReference w:type="default" r:id="rId7"/>
      <w:footerReference w:type="even"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B9DC2" w14:textId="77777777" w:rsidR="00244784" w:rsidRDefault="00244784" w:rsidP="00543937">
      <w:pPr>
        <w:spacing w:before="0" w:after="0" w:line="240" w:lineRule="auto"/>
      </w:pPr>
      <w:r>
        <w:separator/>
      </w:r>
    </w:p>
  </w:endnote>
  <w:endnote w:type="continuationSeparator" w:id="0">
    <w:p w14:paraId="212FB4CE" w14:textId="77777777" w:rsidR="00244784" w:rsidRDefault="00244784" w:rsidP="0054393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9615A" w14:textId="77777777" w:rsidR="00543937" w:rsidRDefault="00543937" w:rsidP="000C22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889F2" w14:textId="77777777" w:rsidR="00543937" w:rsidRDefault="00543937" w:rsidP="005439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E9670" w14:textId="77777777" w:rsidR="00543937" w:rsidRDefault="00543937" w:rsidP="000C22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32C8">
      <w:rPr>
        <w:rStyle w:val="PageNumber"/>
        <w:noProof/>
      </w:rPr>
      <w:t>1</w:t>
    </w:r>
    <w:r>
      <w:rPr>
        <w:rStyle w:val="PageNumber"/>
      </w:rPr>
      <w:fldChar w:fldCharType="end"/>
    </w:r>
  </w:p>
  <w:p w14:paraId="6ADE0B52" w14:textId="7E4CEF6E" w:rsidR="00543937" w:rsidRPr="009C4EF6" w:rsidRDefault="009C4EF6" w:rsidP="009C4EF6">
    <w:pPr>
      <w:pStyle w:val="Footer"/>
      <w:ind w:right="360"/>
      <w:rPr>
        <w:rFonts w:asciiTheme="majorHAnsi" w:hAnsiTheme="majorHAnsi"/>
        <w:i/>
      </w:rPr>
    </w:pPr>
    <w:r w:rsidRPr="009C4EF6">
      <w:rPr>
        <w:rFonts w:asciiTheme="majorHAnsi" w:hAnsiTheme="majorHAnsi"/>
        <w:i/>
      </w:rPr>
      <w:t xml:space="preserve">MASS Guide:  </w:t>
    </w:r>
    <w:r w:rsidR="00104CE8" w:rsidRPr="009C4EF6">
      <w:rPr>
        <w:rFonts w:asciiTheme="majorHAnsi" w:hAnsiTheme="majorHAnsi"/>
        <w:i/>
      </w:rPr>
      <w:t>Standards &amp; Indicators for Superintendent Evaluation, May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59A44B" w14:textId="77777777" w:rsidR="00244784" w:rsidRDefault="00244784" w:rsidP="00543937">
      <w:pPr>
        <w:spacing w:before="0" w:after="0" w:line="240" w:lineRule="auto"/>
      </w:pPr>
      <w:r>
        <w:separator/>
      </w:r>
    </w:p>
  </w:footnote>
  <w:footnote w:type="continuationSeparator" w:id="0">
    <w:p w14:paraId="25658007" w14:textId="77777777" w:rsidR="00244784" w:rsidRDefault="00244784" w:rsidP="0054393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2CEEE" w14:textId="77777777" w:rsidR="00F709C3" w:rsidRPr="00543937" w:rsidRDefault="00F709C3" w:rsidP="00F709C3">
    <w:pPr>
      <w:pStyle w:val="Footer"/>
      <w:ind w:right="360"/>
      <w:jc w:val="center"/>
      <w:rPr>
        <w:b/>
      </w:rPr>
    </w:pPr>
    <w:r w:rsidRPr="00543937">
      <w:rPr>
        <w:b/>
      </w:rPr>
      <w:t>STANDARDS and INDICATORS for SUPERINTENDENT EVALUATION</w:t>
    </w:r>
  </w:p>
  <w:p w14:paraId="7B7943AB" w14:textId="77777777" w:rsidR="00F709C3" w:rsidRDefault="00F709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FF7"/>
    <w:rsid w:val="000D7D89"/>
    <w:rsid w:val="00104CE8"/>
    <w:rsid w:val="00244784"/>
    <w:rsid w:val="003732C8"/>
    <w:rsid w:val="00377FF7"/>
    <w:rsid w:val="00543937"/>
    <w:rsid w:val="009C4EF6"/>
    <w:rsid w:val="00B658CB"/>
    <w:rsid w:val="00E529A4"/>
    <w:rsid w:val="00E918C8"/>
    <w:rsid w:val="00F70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9B82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FF7"/>
    <w:pPr>
      <w:spacing w:before="160" w:after="240" w:line="276" w:lineRule="auto"/>
    </w:pPr>
    <w:rPr>
      <w:rFonts w:ascii="Arial" w:eastAsia="Calibri" w:hAnsi="Arial" w:cs="Times New Roman"/>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
    <w:name w:val="Element"/>
    <w:basedOn w:val="Normal"/>
    <w:autoRedefine/>
    <w:rsid w:val="00F709C3"/>
    <w:pPr>
      <w:shd w:val="clear" w:color="auto" w:fill="FFFFFF"/>
      <w:spacing w:before="40" w:after="40" w:line="240" w:lineRule="auto"/>
      <w:ind w:left="720" w:right="58" w:hanging="450"/>
    </w:pPr>
    <w:rPr>
      <w:color w:val="000000"/>
      <w:sz w:val="18"/>
      <w:szCs w:val="20"/>
    </w:rPr>
  </w:style>
  <w:style w:type="paragraph" w:styleId="Header">
    <w:name w:val="header"/>
    <w:basedOn w:val="Normal"/>
    <w:link w:val="HeaderChar"/>
    <w:uiPriority w:val="99"/>
    <w:unhideWhenUsed/>
    <w:rsid w:val="00543937"/>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43937"/>
    <w:rPr>
      <w:rFonts w:ascii="Arial" w:eastAsia="Calibri" w:hAnsi="Arial" w:cs="Times New Roman"/>
      <w:sz w:val="20"/>
      <w:szCs w:val="22"/>
    </w:rPr>
  </w:style>
  <w:style w:type="paragraph" w:styleId="Footer">
    <w:name w:val="footer"/>
    <w:basedOn w:val="Normal"/>
    <w:link w:val="FooterChar"/>
    <w:uiPriority w:val="99"/>
    <w:unhideWhenUsed/>
    <w:rsid w:val="00543937"/>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43937"/>
    <w:rPr>
      <w:rFonts w:ascii="Arial" w:eastAsia="Calibri" w:hAnsi="Arial" w:cs="Times New Roman"/>
      <w:sz w:val="20"/>
      <w:szCs w:val="22"/>
    </w:rPr>
  </w:style>
  <w:style w:type="character" w:styleId="PageNumber">
    <w:name w:val="page number"/>
    <w:basedOn w:val="DefaultParagraphFont"/>
    <w:uiPriority w:val="99"/>
    <w:semiHidden/>
    <w:unhideWhenUsed/>
    <w:rsid w:val="005439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FF7"/>
    <w:pPr>
      <w:spacing w:before="160" w:after="240" w:line="276" w:lineRule="auto"/>
    </w:pPr>
    <w:rPr>
      <w:rFonts w:ascii="Arial" w:eastAsia="Calibri" w:hAnsi="Arial" w:cs="Times New Roman"/>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
    <w:name w:val="Element"/>
    <w:basedOn w:val="Normal"/>
    <w:autoRedefine/>
    <w:rsid w:val="00F709C3"/>
    <w:pPr>
      <w:shd w:val="clear" w:color="auto" w:fill="FFFFFF"/>
      <w:spacing w:before="40" w:after="40" w:line="240" w:lineRule="auto"/>
      <w:ind w:left="720" w:right="58" w:hanging="450"/>
    </w:pPr>
    <w:rPr>
      <w:color w:val="000000"/>
      <w:sz w:val="18"/>
      <w:szCs w:val="20"/>
    </w:rPr>
  </w:style>
  <w:style w:type="paragraph" w:styleId="Header">
    <w:name w:val="header"/>
    <w:basedOn w:val="Normal"/>
    <w:link w:val="HeaderChar"/>
    <w:uiPriority w:val="99"/>
    <w:unhideWhenUsed/>
    <w:rsid w:val="00543937"/>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43937"/>
    <w:rPr>
      <w:rFonts w:ascii="Arial" w:eastAsia="Calibri" w:hAnsi="Arial" w:cs="Times New Roman"/>
      <w:sz w:val="20"/>
      <w:szCs w:val="22"/>
    </w:rPr>
  </w:style>
  <w:style w:type="paragraph" w:styleId="Footer">
    <w:name w:val="footer"/>
    <w:basedOn w:val="Normal"/>
    <w:link w:val="FooterChar"/>
    <w:uiPriority w:val="99"/>
    <w:unhideWhenUsed/>
    <w:rsid w:val="00543937"/>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43937"/>
    <w:rPr>
      <w:rFonts w:ascii="Arial" w:eastAsia="Calibri" w:hAnsi="Arial" w:cs="Times New Roman"/>
      <w:sz w:val="20"/>
      <w:szCs w:val="22"/>
    </w:rPr>
  </w:style>
  <w:style w:type="character" w:styleId="PageNumber">
    <w:name w:val="page number"/>
    <w:basedOn w:val="DefaultParagraphFont"/>
    <w:uiPriority w:val="99"/>
    <w:semiHidden/>
    <w:unhideWhenUsed/>
    <w:rsid w:val="00543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Baehr</dc:creator>
  <cp:lastModifiedBy>Owner</cp:lastModifiedBy>
  <cp:revision>2</cp:revision>
  <cp:lastPrinted>2017-03-10T17:30:00Z</cp:lastPrinted>
  <dcterms:created xsi:type="dcterms:W3CDTF">2017-05-11T14:07:00Z</dcterms:created>
  <dcterms:modified xsi:type="dcterms:W3CDTF">2017-05-11T14:07:00Z</dcterms:modified>
</cp:coreProperties>
</file>