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EBE08" w14:textId="77777777" w:rsidR="00803DB9" w:rsidRDefault="00803DB9" w:rsidP="00803DB9">
      <w:pPr>
        <w:jc w:val="center"/>
        <w:rPr>
          <w:b/>
          <w:sz w:val="16"/>
        </w:rPr>
      </w:pPr>
      <w:bookmarkStart w:id="0" w:name="_GoBack"/>
      <w:bookmarkEnd w:id="0"/>
      <w:r>
        <w:rPr>
          <w:b/>
          <w:sz w:val="26"/>
        </w:rPr>
        <w:t>LONG &amp; DiPIETRO, LLP</w:t>
      </w:r>
    </w:p>
    <w:p w14:paraId="679CECE8" w14:textId="77777777" w:rsidR="00803DB9" w:rsidRDefault="00803DB9" w:rsidP="00803DB9">
      <w:pPr>
        <w:jc w:val="center"/>
        <w:rPr>
          <w:b/>
          <w:sz w:val="16"/>
        </w:rPr>
      </w:pPr>
      <w:r>
        <w:rPr>
          <w:b/>
          <w:sz w:val="16"/>
        </w:rPr>
        <w:t>ATTORNEYS AT LAW</w:t>
      </w:r>
    </w:p>
    <w:p w14:paraId="0A395C60" w14:textId="77777777" w:rsidR="00803DB9" w:rsidRDefault="00803DB9" w:rsidP="00803DB9">
      <w:pPr>
        <w:jc w:val="center"/>
        <w:rPr>
          <w:b/>
          <w:sz w:val="14"/>
        </w:rPr>
      </w:pPr>
      <w:r>
        <w:rPr>
          <w:b/>
          <w:sz w:val="14"/>
        </w:rPr>
        <w:t>175 Derby Street</w:t>
      </w:r>
    </w:p>
    <w:p w14:paraId="55997C0E" w14:textId="77777777" w:rsidR="00803DB9" w:rsidRDefault="00803DB9" w:rsidP="00803DB9">
      <w:pPr>
        <w:jc w:val="center"/>
        <w:rPr>
          <w:b/>
          <w:sz w:val="14"/>
        </w:rPr>
      </w:pPr>
      <w:r>
        <w:rPr>
          <w:b/>
          <w:sz w:val="14"/>
        </w:rPr>
        <w:t>Unit 17</w:t>
      </w:r>
    </w:p>
    <w:p w14:paraId="7C39133A" w14:textId="77777777" w:rsidR="00803DB9" w:rsidRDefault="00803DB9" w:rsidP="00803DB9">
      <w:pPr>
        <w:jc w:val="center"/>
        <w:rPr>
          <w:b/>
          <w:sz w:val="14"/>
        </w:rPr>
      </w:pPr>
      <w:r>
        <w:rPr>
          <w:b/>
          <w:sz w:val="14"/>
        </w:rPr>
        <w:t>Hingham, MA  02043</w:t>
      </w:r>
    </w:p>
    <w:p w14:paraId="34A398B9" w14:textId="77777777" w:rsidR="00803DB9" w:rsidRDefault="00803DB9" w:rsidP="00803DB9">
      <w:pPr>
        <w:jc w:val="center"/>
        <w:rPr>
          <w:b/>
          <w:sz w:val="14"/>
        </w:rPr>
      </w:pPr>
      <w:r>
        <w:rPr>
          <w:b/>
          <w:sz w:val="14"/>
        </w:rPr>
        <w:t>---------</w:t>
      </w:r>
    </w:p>
    <w:p w14:paraId="0326C668" w14:textId="77777777" w:rsidR="00803DB9" w:rsidRDefault="00803DB9" w:rsidP="00803DB9">
      <w:pPr>
        <w:jc w:val="center"/>
        <w:rPr>
          <w:b/>
          <w:sz w:val="14"/>
        </w:rPr>
      </w:pPr>
      <w:r>
        <w:rPr>
          <w:b/>
          <w:sz w:val="14"/>
        </w:rPr>
        <w:t>www.long-law.com</w:t>
      </w:r>
    </w:p>
    <w:p w14:paraId="0196250E" w14:textId="77777777" w:rsidR="00803DB9" w:rsidRDefault="00803DB9" w:rsidP="00803DB9">
      <w:pPr>
        <w:jc w:val="center"/>
        <w:rPr>
          <w:b/>
          <w:sz w:val="22"/>
          <w:u w:val="single"/>
        </w:rPr>
      </w:pPr>
    </w:p>
    <w:p w14:paraId="78183013" w14:textId="77777777" w:rsidR="00803DB9" w:rsidRDefault="00803DB9" w:rsidP="00803DB9">
      <w:pPr>
        <w:jc w:val="center"/>
        <w:rPr>
          <w:b/>
          <w:u w:val="single"/>
        </w:rPr>
      </w:pPr>
    </w:p>
    <w:p w14:paraId="52F93D42" w14:textId="77777777" w:rsidR="00803DB9" w:rsidRDefault="00803DB9" w:rsidP="00803DB9">
      <w:pPr>
        <w:rPr>
          <w:b/>
          <w:u w:val="single"/>
        </w:rPr>
      </w:pPr>
    </w:p>
    <w:p w14:paraId="3EAFFD72" w14:textId="77777777" w:rsidR="00803DB9" w:rsidRDefault="00803DB9" w:rsidP="00803DB9">
      <w:pPr>
        <w:ind w:right="-720"/>
        <w:rPr>
          <w:b/>
          <w:sz w:val="14"/>
        </w:rPr>
      </w:pPr>
      <w:r>
        <w:rPr>
          <w:b/>
          <w:sz w:val="14"/>
        </w:rPr>
        <w:t>MICHAEL J. LONG</w:t>
      </w:r>
      <w:r>
        <w:rPr>
          <w:b/>
          <w:sz w:val="14"/>
        </w:rPr>
        <w:tab/>
      </w:r>
      <w:r>
        <w:rPr>
          <w:b/>
          <w:sz w:val="14"/>
        </w:rPr>
        <w:tab/>
      </w:r>
      <w:r>
        <w:rPr>
          <w:b/>
          <w:sz w:val="14"/>
        </w:rPr>
        <w:tab/>
      </w:r>
      <w:r>
        <w:rPr>
          <w:b/>
        </w:rPr>
        <w:tab/>
      </w:r>
      <w:r>
        <w:rPr>
          <w:b/>
        </w:rPr>
        <w:tab/>
      </w:r>
      <w:r>
        <w:rPr>
          <w:b/>
        </w:rPr>
        <w:tab/>
      </w:r>
      <w:r>
        <w:rPr>
          <w:b/>
        </w:rPr>
        <w:tab/>
      </w:r>
      <w:r>
        <w:rPr>
          <w:b/>
        </w:rPr>
        <w:tab/>
      </w:r>
      <w:r>
        <w:rPr>
          <w:b/>
        </w:rPr>
        <w:tab/>
      </w:r>
      <w:r>
        <w:rPr>
          <w:b/>
        </w:rPr>
        <w:tab/>
      </w:r>
      <w:r>
        <w:rPr>
          <w:b/>
          <w:sz w:val="14"/>
        </w:rPr>
        <w:t>TELEPHONE (781) 749-0021</w:t>
      </w:r>
    </w:p>
    <w:p w14:paraId="009ACA8C" w14:textId="77777777" w:rsidR="00803DB9" w:rsidRDefault="00803DB9" w:rsidP="00803DB9">
      <w:pPr>
        <w:ind w:right="-720"/>
        <w:rPr>
          <w:b/>
          <w:sz w:val="14"/>
        </w:rPr>
      </w:pPr>
      <w:r>
        <w:rPr>
          <w:b/>
          <w:sz w:val="14"/>
        </w:rPr>
        <w:t>ROSANN DiPIETRO</w:t>
      </w:r>
      <w:r>
        <w:rPr>
          <w:b/>
          <w:sz w:val="14"/>
        </w:rPr>
        <w:tab/>
      </w:r>
      <w:r>
        <w:rPr>
          <w:b/>
          <w:sz w:val="14"/>
        </w:rPr>
        <w:tab/>
      </w:r>
      <w:r>
        <w:rPr>
          <w:b/>
          <w:sz w:val="14"/>
        </w:rPr>
        <w:tab/>
      </w:r>
      <w:r>
        <w:rPr>
          <w:b/>
          <w:sz w:val="14"/>
        </w:rPr>
        <w:tab/>
      </w:r>
      <w:r>
        <w:rPr>
          <w:b/>
          <w:sz w:val="14"/>
        </w:rPr>
        <w:tab/>
      </w:r>
      <w:r>
        <w:rPr>
          <w:b/>
          <w:sz w:val="14"/>
        </w:rPr>
        <w:tab/>
      </w:r>
      <w:r>
        <w:rPr>
          <w:b/>
          <w:sz w:val="14"/>
        </w:rPr>
        <w:tab/>
      </w:r>
      <w:r>
        <w:rPr>
          <w:b/>
          <w:sz w:val="14"/>
        </w:rPr>
        <w:tab/>
      </w:r>
      <w:r>
        <w:rPr>
          <w:b/>
          <w:sz w:val="14"/>
        </w:rPr>
        <w:tab/>
      </w:r>
      <w:r>
        <w:rPr>
          <w:b/>
          <w:sz w:val="14"/>
        </w:rPr>
        <w:tab/>
        <w:t>FACSIMILE   (781) 749-1121</w:t>
      </w:r>
    </w:p>
    <w:p w14:paraId="4D58FEF4" w14:textId="77777777" w:rsidR="00803DB9" w:rsidRDefault="00803DB9" w:rsidP="00803DB9">
      <w:pPr>
        <w:ind w:right="-720"/>
        <w:rPr>
          <w:b/>
          <w:sz w:val="14"/>
        </w:rPr>
      </w:pPr>
      <w:r>
        <w:rPr>
          <w:b/>
          <w:sz w:val="14"/>
        </w:rPr>
        <w:t>KELLY T. GONZALEZ</w:t>
      </w:r>
      <w:r>
        <w:rPr>
          <w:b/>
          <w:sz w:val="14"/>
        </w:rPr>
        <w:tab/>
      </w:r>
      <w:r>
        <w:rPr>
          <w:b/>
          <w:sz w:val="14"/>
        </w:rPr>
        <w:tab/>
      </w:r>
      <w:r>
        <w:rPr>
          <w:b/>
          <w:sz w:val="14"/>
        </w:rPr>
        <w:tab/>
      </w:r>
      <w:r>
        <w:rPr>
          <w:b/>
          <w:sz w:val="14"/>
        </w:rPr>
        <w:tab/>
      </w:r>
      <w:r>
        <w:rPr>
          <w:b/>
          <w:sz w:val="14"/>
        </w:rPr>
        <w:tab/>
      </w:r>
      <w:r>
        <w:rPr>
          <w:b/>
          <w:sz w:val="14"/>
        </w:rPr>
        <w:tab/>
      </w:r>
      <w:r>
        <w:rPr>
          <w:b/>
          <w:sz w:val="14"/>
        </w:rPr>
        <w:tab/>
      </w:r>
      <w:r>
        <w:rPr>
          <w:b/>
          <w:sz w:val="14"/>
        </w:rPr>
        <w:tab/>
      </w:r>
      <w:r>
        <w:rPr>
          <w:b/>
          <w:sz w:val="14"/>
        </w:rPr>
        <w:tab/>
        <w:t>email@long-law.com</w:t>
      </w:r>
    </w:p>
    <w:p w14:paraId="6A39A2EB" w14:textId="77777777" w:rsidR="00803DB9" w:rsidRDefault="00803DB9" w:rsidP="00803DB9">
      <w:pPr>
        <w:jc w:val="both"/>
        <w:rPr>
          <w:b/>
          <w:sz w:val="14"/>
          <w:szCs w:val="14"/>
        </w:rPr>
      </w:pPr>
      <w:r>
        <w:rPr>
          <w:b/>
          <w:sz w:val="14"/>
          <w:szCs w:val="14"/>
        </w:rPr>
        <w:t>LESLIE C. CAREY</w:t>
      </w:r>
    </w:p>
    <w:p w14:paraId="402BF33A" w14:textId="77777777" w:rsidR="00803DB9" w:rsidRDefault="00803DB9" w:rsidP="00803DB9">
      <w:pPr>
        <w:jc w:val="both"/>
        <w:rPr>
          <w:b/>
          <w:sz w:val="14"/>
          <w:szCs w:val="14"/>
        </w:rPr>
      </w:pPr>
    </w:p>
    <w:p w14:paraId="711EDA73" w14:textId="77777777" w:rsidR="00803DB9" w:rsidRDefault="00803DB9" w:rsidP="00803DB9">
      <w:pPr>
        <w:jc w:val="both"/>
        <w:rPr>
          <w:b/>
          <w:sz w:val="14"/>
          <w:szCs w:val="14"/>
        </w:rPr>
      </w:pPr>
      <w:r>
        <w:rPr>
          <w:b/>
          <w:sz w:val="14"/>
          <w:szCs w:val="14"/>
        </w:rPr>
        <w:t>JOSEPH P. LONG</w:t>
      </w:r>
    </w:p>
    <w:p w14:paraId="47AF5A93" w14:textId="77777777" w:rsidR="00803DB9" w:rsidRDefault="00803DB9" w:rsidP="00803DB9">
      <w:pPr>
        <w:jc w:val="both"/>
        <w:rPr>
          <w:b/>
          <w:sz w:val="12"/>
          <w:szCs w:val="12"/>
        </w:rPr>
      </w:pPr>
      <w:r>
        <w:rPr>
          <w:b/>
          <w:sz w:val="12"/>
          <w:szCs w:val="12"/>
        </w:rPr>
        <w:t xml:space="preserve">OF COUNSEL </w:t>
      </w:r>
    </w:p>
    <w:p w14:paraId="2D32895A" w14:textId="77777777" w:rsidR="00803DB9" w:rsidRDefault="00803DB9" w:rsidP="00803DB9">
      <w:pPr>
        <w:rPr>
          <w:b/>
          <w:u w:val="single"/>
        </w:rPr>
      </w:pPr>
    </w:p>
    <w:p w14:paraId="06CC1445" w14:textId="77777777" w:rsidR="00803DB9" w:rsidRDefault="00803DB9" w:rsidP="00803DB9">
      <w:pPr>
        <w:jc w:val="center"/>
        <w:rPr>
          <w:b/>
          <w:u w:val="single"/>
        </w:rPr>
      </w:pPr>
      <w:r>
        <w:rPr>
          <w:b/>
          <w:u w:val="single"/>
        </w:rPr>
        <w:t>MEMORANDUM</w:t>
      </w:r>
    </w:p>
    <w:p w14:paraId="5E3254FC" w14:textId="77777777" w:rsidR="00803DB9" w:rsidRDefault="00803DB9" w:rsidP="00803DB9">
      <w:pPr>
        <w:rPr>
          <w:b/>
        </w:rPr>
      </w:pPr>
    </w:p>
    <w:p w14:paraId="4BF3310C" w14:textId="064439F9" w:rsidR="00803DB9" w:rsidRDefault="00803DB9" w:rsidP="00803DB9">
      <w:pPr>
        <w:ind w:left="2160" w:hanging="2160"/>
        <w:rPr>
          <w:b/>
        </w:rPr>
      </w:pPr>
      <w:r>
        <w:rPr>
          <w:b/>
        </w:rPr>
        <w:t>TO:</w:t>
      </w:r>
      <w:r>
        <w:rPr>
          <w:b/>
        </w:rPr>
        <w:tab/>
        <w:t>Thomas Scott, M.A.S.S.</w:t>
      </w:r>
    </w:p>
    <w:p w14:paraId="4BAD699B" w14:textId="77777777" w:rsidR="00803DB9" w:rsidRDefault="00803DB9" w:rsidP="00803DB9">
      <w:pPr>
        <w:ind w:left="2160" w:hanging="2160"/>
        <w:rPr>
          <w:b/>
        </w:rPr>
      </w:pPr>
    </w:p>
    <w:p w14:paraId="56B94DC0" w14:textId="550B4BD5" w:rsidR="00803DB9" w:rsidRDefault="00803DB9" w:rsidP="00803DB9">
      <w:pPr>
        <w:ind w:left="2160" w:hanging="2160"/>
        <w:rPr>
          <w:b/>
        </w:rPr>
      </w:pPr>
      <w:r>
        <w:rPr>
          <w:b/>
        </w:rPr>
        <w:t>FROM:</w:t>
      </w:r>
      <w:r>
        <w:rPr>
          <w:b/>
        </w:rPr>
        <w:tab/>
      </w:r>
      <w:r w:rsidR="005068C9">
        <w:rPr>
          <w:b/>
        </w:rPr>
        <w:t xml:space="preserve">Kelly Gonzalez and </w:t>
      </w:r>
      <w:r>
        <w:rPr>
          <w:b/>
        </w:rPr>
        <w:t>Leslie Carey, Long &amp; DiPietro, LLP</w:t>
      </w:r>
    </w:p>
    <w:p w14:paraId="1DE8B4EA" w14:textId="77777777" w:rsidR="00803DB9" w:rsidRDefault="00803DB9" w:rsidP="00803DB9">
      <w:pPr>
        <w:rPr>
          <w:b/>
        </w:rPr>
      </w:pPr>
    </w:p>
    <w:p w14:paraId="037139A5" w14:textId="6E5418CE" w:rsidR="00803DB9" w:rsidRDefault="00803DB9" w:rsidP="00803DB9">
      <w:pPr>
        <w:rPr>
          <w:b/>
        </w:rPr>
      </w:pPr>
      <w:r>
        <w:rPr>
          <w:b/>
        </w:rPr>
        <w:t>DATE:</w:t>
      </w:r>
      <w:r>
        <w:rPr>
          <w:b/>
        </w:rPr>
        <w:tab/>
      </w:r>
      <w:r>
        <w:rPr>
          <w:b/>
        </w:rPr>
        <w:tab/>
        <w:t xml:space="preserve">March </w:t>
      </w:r>
      <w:r w:rsidR="005068C9">
        <w:rPr>
          <w:b/>
        </w:rPr>
        <w:t>27</w:t>
      </w:r>
      <w:r>
        <w:rPr>
          <w:b/>
        </w:rPr>
        <w:t>, 2018</w:t>
      </w:r>
    </w:p>
    <w:p w14:paraId="29BD311B" w14:textId="77777777" w:rsidR="00803DB9" w:rsidRDefault="00803DB9" w:rsidP="00803DB9">
      <w:pPr>
        <w:rPr>
          <w:b/>
        </w:rPr>
      </w:pPr>
    </w:p>
    <w:p w14:paraId="5A119B32" w14:textId="3814BDA4" w:rsidR="00803DB9" w:rsidRDefault="00803DB9" w:rsidP="00803DB9">
      <w:pPr>
        <w:pBdr>
          <w:bottom w:val="single" w:sz="12" w:space="1" w:color="auto"/>
        </w:pBdr>
        <w:ind w:left="2160" w:hanging="2160"/>
        <w:rPr>
          <w:b/>
        </w:rPr>
      </w:pPr>
      <w:r>
        <w:rPr>
          <w:b/>
        </w:rPr>
        <w:t>RE:</w:t>
      </w:r>
      <w:r>
        <w:rPr>
          <w:b/>
        </w:rPr>
        <w:tab/>
      </w:r>
      <w:r w:rsidR="00962253">
        <w:rPr>
          <w:b/>
        </w:rPr>
        <w:t>Massachusetts Equal Pay Act</w:t>
      </w:r>
    </w:p>
    <w:p w14:paraId="707BA474" w14:textId="77777777" w:rsidR="00803DB9" w:rsidRDefault="00803DB9" w:rsidP="00803DB9">
      <w:pPr>
        <w:pBdr>
          <w:bottom w:val="single" w:sz="12" w:space="1" w:color="auto"/>
        </w:pBdr>
        <w:rPr>
          <w:b/>
        </w:rPr>
      </w:pPr>
    </w:p>
    <w:p w14:paraId="28AEC5BF" w14:textId="72B56929" w:rsidR="00FC4258" w:rsidRDefault="00FC4258" w:rsidP="00AA5990">
      <w:pPr>
        <w:spacing w:line="480" w:lineRule="auto"/>
      </w:pPr>
    </w:p>
    <w:p w14:paraId="6625085A" w14:textId="55211184" w:rsidR="00AA5990" w:rsidRPr="00AA5990" w:rsidRDefault="00BA358C" w:rsidP="00AA5990">
      <w:pPr>
        <w:pStyle w:val="ListParagraph"/>
        <w:numPr>
          <w:ilvl w:val="0"/>
          <w:numId w:val="5"/>
        </w:numPr>
        <w:spacing w:line="480" w:lineRule="auto"/>
        <w:rPr>
          <w:b/>
          <w:u w:val="single"/>
        </w:rPr>
      </w:pPr>
      <w:r>
        <w:rPr>
          <w:b/>
          <w:u w:val="single"/>
        </w:rPr>
        <w:t>SUMMARY</w:t>
      </w:r>
    </w:p>
    <w:p w14:paraId="0E215308" w14:textId="06AE8DC1" w:rsidR="00037C25" w:rsidRDefault="00EC48B7" w:rsidP="00037C25">
      <w:pPr>
        <w:spacing w:line="480" w:lineRule="auto"/>
        <w:ind w:firstLine="720"/>
      </w:pPr>
      <w:r>
        <w:t xml:space="preserve">Governor Baker signed </w:t>
      </w:r>
      <w:r w:rsidR="006B3E80" w:rsidRPr="006B3E80">
        <w:rPr>
          <w:i/>
        </w:rPr>
        <w:t xml:space="preserve">An </w:t>
      </w:r>
      <w:r w:rsidR="00664DBB" w:rsidRPr="006B3E80">
        <w:rPr>
          <w:i/>
        </w:rPr>
        <w:t xml:space="preserve">Act to Establish </w:t>
      </w:r>
      <w:r w:rsidRPr="006B3E80">
        <w:rPr>
          <w:i/>
        </w:rPr>
        <w:t>Pay Equity</w:t>
      </w:r>
      <w:r w:rsidR="005528A3">
        <w:t xml:space="preserve"> (“</w:t>
      </w:r>
      <w:r w:rsidR="006B3E80">
        <w:t xml:space="preserve">Equal Pay </w:t>
      </w:r>
      <w:r w:rsidR="005528A3">
        <w:t xml:space="preserve">Act,” Act”) </w:t>
      </w:r>
      <w:r>
        <w:t>into law on August 1, 2016</w:t>
      </w:r>
      <w:r w:rsidR="00071634">
        <w:t xml:space="preserve">. </w:t>
      </w:r>
      <w:r>
        <w:rPr>
          <w:i/>
        </w:rPr>
        <w:t xml:space="preserve">See </w:t>
      </w:r>
      <w:r>
        <w:t>Chapter 177 of the Acts of 2016.</w:t>
      </w:r>
      <w:r w:rsidR="00F61D7F">
        <w:t xml:space="preserve"> </w:t>
      </w:r>
      <w:r>
        <w:t>The Act</w:t>
      </w:r>
      <w:r w:rsidR="004766C7">
        <w:t xml:space="preserve">, which will go into effect </w:t>
      </w:r>
      <w:r w:rsidR="00E1243B">
        <w:t xml:space="preserve">on July 1, 2018, </w:t>
      </w:r>
      <w:r>
        <w:t>revise</w:t>
      </w:r>
      <w:r w:rsidR="00E1243B">
        <w:t>s</w:t>
      </w:r>
      <w:r>
        <w:t xml:space="preserve"> </w:t>
      </w:r>
      <w:r w:rsidR="00B53049">
        <w:t xml:space="preserve">M.G.L. c. </w:t>
      </w:r>
      <w:r>
        <w:t>149, § 105A</w:t>
      </w:r>
      <w:r w:rsidR="00E1243B">
        <w:t xml:space="preserve">. </w:t>
      </w:r>
      <w:r w:rsidR="00782EB9">
        <w:t xml:space="preserve">The primary feature of the </w:t>
      </w:r>
      <w:r w:rsidR="00E1243B">
        <w:t xml:space="preserve">Equal Pay </w:t>
      </w:r>
      <w:r w:rsidR="00782EB9">
        <w:t>Act is that it prohibits employment discrimination in the form of employers paying employees of different genders different rates for</w:t>
      </w:r>
      <w:r w:rsidR="00FC63B7">
        <w:t xml:space="preserve"> </w:t>
      </w:r>
      <w:r w:rsidR="00782EB9">
        <w:t>“comparable work.”</w:t>
      </w:r>
    </w:p>
    <w:p w14:paraId="143CE61C" w14:textId="5582C162" w:rsidR="00396E34" w:rsidRPr="00037C25" w:rsidRDefault="007C0F97" w:rsidP="00037C25">
      <w:pPr>
        <w:spacing w:line="480" w:lineRule="auto"/>
        <w:ind w:firstLine="720"/>
      </w:pPr>
      <w:r>
        <w:t>While</w:t>
      </w:r>
      <w:r w:rsidR="005C60ED">
        <w:t xml:space="preserve"> </w:t>
      </w:r>
      <w:r>
        <w:t xml:space="preserve">c. 149, § 105A, along with federal anti-discrimination laws, have long prohibited employers from </w:t>
      </w:r>
      <w:r w:rsidR="002B1180">
        <w:t xml:space="preserve">engaging in </w:t>
      </w:r>
      <w:r w:rsidR="009235C4">
        <w:t xml:space="preserve">pay discrimination based on gender, </w:t>
      </w:r>
      <w:r>
        <w:t xml:space="preserve">the </w:t>
      </w:r>
      <w:r w:rsidR="005C60ED">
        <w:t>Equal Pay Act</w:t>
      </w:r>
      <w:r>
        <w:t xml:space="preserve"> </w:t>
      </w:r>
      <w:r w:rsidR="005907FB">
        <w:t xml:space="preserve">defines </w:t>
      </w:r>
      <w:r>
        <w:t>“comparable work.”</w:t>
      </w:r>
      <w:r w:rsidR="00FC63B7">
        <w:t xml:space="preserve"> </w:t>
      </w:r>
      <w:r w:rsidR="00782EB9">
        <w:t>The Act also provides additional employee-friendly protections</w:t>
      </w:r>
      <w:r w:rsidR="00037C25">
        <w:t>, largely related to the sharing of salary information,</w:t>
      </w:r>
      <w:r w:rsidR="00C06A22">
        <w:t xml:space="preserve"> designed to decrease </w:t>
      </w:r>
      <w:r w:rsidR="008F6AF1">
        <w:t xml:space="preserve">the </w:t>
      </w:r>
      <w:r w:rsidR="00A47820">
        <w:t>gender</w:t>
      </w:r>
      <w:r w:rsidR="008F6AF1">
        <w:t>-based</w:t>
      </w:r>
      <w:r w:rsidR="00A47820">
        <w:t xml:space="preserve"> pay gap</w:t>
      </w:r>
      <w:r w:rsidR="00A62146">
        <w:t xml:space="preserve"> that in some cases still persists </w:t>
      </w:r>
      <w:r w:rsidR="0095549E">
        <w:t>despite the long-standing prohibition on discriminatory pay practices</w:t>
      </w:r>
      <w:r w:rsidR="00037C25">
        <w:t>.</w:t>
      </w:r>
      <w:r w:rsidR="0000245B">
        <w:t xml:space="preserve"> </w:t>
      </w:r>
      <w:r w:rsidR="0000245B">
        <w:lastRenderedPageBreak/>
        <w:t>E</w:t>
      </w:r>
      <w:r w:rsidR="00782EB9">
        <w:t xml:space="preserve">mployers </w:t>
      </w:r>
      <w:r w:rsidR="005D168E">
        <w:t>face</w:t>
      </w:r>
      <w:r w:rsidR="009821BA">
        <w:t xml:space="preserve"> potential liability</w:t>
      </w:r>
      <w:r w:rsidR="00782EB9">
        <w:t xml:space="preserve"> for double an impermissible wage differential</w:t>
      </w:r>
      <w:r w:rsidR="00DD73F1">
        <w:t xml:space="preserve"> </w:t>
      </w:r>
      <w:r w:rsidR="00B94A88">
        <w:t>plus attorney</w:t>
      </w:r>
      <w:r w:rsidR="001000B9">
        <w:t>s’ fees and costs</w:t>
      </w:r>
      <w:r w:rsidR="00DD73F1">
        <w:t xml:space="preserve"> under the new law</w:t>
      </w:r>
      <w:r w:rsidR="001000B9">
        <w:t>,</w:t>
      </w:r>
      <w:r w:rsidR="00782EB9">
        <w:t xml:space="preserve"> </w:t>
      </w:r>
      <w:r w:rsidR="0000245B">
        <w:t xml:space="preserve">however </w:t>
      </w:r>
      <w:r w:rsidR="00782EB9">
        <w:t xml:space="preserve">an employer can </w:t>
      </w:r>
      <w:r w:rsidR="005C3687">
        <w:t>limit</w:t>
      </w:r>
      <w:r w:rsidR="00782EB9">
        <w:t xml:space="preserve"> liability by conducting reasonable, good faith self-evaluations and demonstrating reasonable progress toward eliminating impermissible wage </w:t>
      </w:r>
      <w:r w:rsidR="00D362C3">
        <w:t>gaps.</w:t>
      </w:r>
    </w:p>
    <w:p w14:paraId="5144875F" w14:textId="6AC099A2" w:rsidR="00396E34" w:rsidRPr="00EC48B7" w:rsidRDefault="00EC48B7" w:rsidP="000C5920">
      <w:pPr>
        <w:pStyle w:val="ListParagraph"/>
        <w:numPr>
          <w:ilvl w:val="0"/>
          <w:numId w:val="5"/>
        </w:numPr>
        <w:spacing w:line="480" w:lineRule="auto"/>
        <w:rPr>
          <w:b/>
          <w:u w:val="single"/>
        </w:rPr>
      </w:pPr>
      <w:r w:rsidRPr="0048504B">
        <w:rPr>
          <w:b/>
        </w:rPr>
        <w:t xml:space="preserve"> </w:t>
      </w:r>
      <w:r w:rsidR="0012023A" w:rsidRPr="0048504B">
        <w:rPr>
          <w:b/>
        </w:rPr>
        <w:t>“</w:t>
      </w:r>
      <w:r w:rsidR="000C5920" w:rsidRPr="00EC48B7">
        <w:rPr>
          <w:b/>
          <w:u w:val="single"/>
        </w:rPr>
        <w:t>COMPARABLE WORK</w:t>
      </w:r>
      <w:r w:rsidR="0012023A" w:rsidRPr="0048504B">
        <w:rPr>
          <w:b/>
        </w:rPr>
        <w:t>”</w:t>
      </w:r>
    </w:p>
    <w:p w14:paraId="4E2BF5D6" w14:textId="1E3AE19B" w:rsidR="0012023A" w:rsidRPr="0012023A" w:rsidRDefault="0012023A" w:rsidP="0012023A">
      <w:pPr>
        <w:pStyle w:val="ListParagraph"/>
        <w:numPr>
          <w:ilvl w:val="0"/>
          <w:numId w:val="6"/>
        </w:numPr>
        <w:spacing w:line="480" w:lineRule="auto"/>
        <w:rPr>
          <w:b/>
        </w:rPr>
      </w:pPr>
      <w:r>
        <w:rPr>
          <w:b/>
        </w:rPr>
        <w:t>D</w:t>
      </w:r>
      <w:r w:rsidR="00E0700A">
        <w:rPr>
          <w:b/>
        </w:rPr>
        <w:t>efinitions Under the Act</w:t>
      </w:r>
    </w:p>
    <w:p w14:paraId="645F442E" w14:textId="59477ACF" w:rsidR="00F8453A" w:rsidRDefault="00B66AFA" w:rsidP="000C5920">
      <w:pPr>
        <w:spacing w:line="480" w:lineRule="auto"/>
        <w:ind w:firstLine="720"/>
      </w:pPr>
      <w:r>
        <w:t xml:space="preserve">The </w:t>
      </w:r>
      <w:r w:rsidR="002B2638">
        <w:t>Equal Pay</w:t>
      </w:r>
      <w:r>
        <w:t xml:space="preserve"> Act </w:t>
      </w:r>
      <w:r w:rsidR="003900B7">
        <w:t>states that</w:t>
      </w:r>
    </w:p>
    <w:p w14:paraId="36F55AD2" w14:textId="3787783E" w:rsidR="00F8453A" w:rsidRDefault="003900B7" w:rsidP="00DD2081">
      <w:pPr>
        <w:ind w:left="1440"/>
      </w:pPr>
      <w:r>
        <w:t>[n]o employer shall discriminate in any way on the basis of gender in the payment of wages, or pay any person in its employ a salary or wage rate less than the rate</w:t>
      </w:r>
      <w:r w:rsidR="00E971A5">
        <w:t>s</w:t>
      </w:r>
      <w:r>
        <w:t xml:space="preserve"> paid to its employees of a different gender for comparable work.</w:t>
      </w:r>
    </w:p>
    <w:p w14:paraId="631CB9E3" w14:textId="77777777" w:rsidR="00DD2081" w:rsidRDefault="00DD2081" w:rsidP="00DD2081">
      <w:pPr>
        <w:ind w:left="1440"/>
      </w:pPr>
    </w:p>
    <w:p w14:paraId="16994955" w14:textId="1C7CB297" w:rsidR="00963BA8" w:rsidRDefault="002B2638" w:rsidP="00963BA8">
      <w:r>
        <w:t>Equal Pay</w:t>
      </w:r>
      <w:r w:rsidR="003900B7">
        <w:t xml:space="preserve"> Act at § 2(b).</w:t>
      </w:r>
      <w:r w:rsidR="00DD2081">
        <w:t xml:space="preserve"> </w:t>
      </w:r>
      <w:r w:rsidR="003900B7">
        <w:t>Of</w:t>
      </w:r>
      <w:r w:rsidR="00BF5447">
        <w:t xml:space="preserve"> particular</w:t>
      </w:r>
      <w:r w:rsidR="003900B7">
        <w:t xml:space="preserve"> import, the Act goes on to define </w:t>
      </w:r>
      <w:r w:rsidR="00B66AFA">
        <w:t xml:space="preserve">“comparable work” as </w:t>
      </w:r>
    </w:p>
    <w:p w14:paraId="1D5C5186" w14:textId="77777777" w:rsidR="00963BA8" w:rsidRDefault="00963BA8" w:rsidP="00963BA8"/>
    <w:p w14:paraId="776FD726" w14:textId="77777777" w:rsidR="00963BA8" w:rsidRDefault="00B66AFA" w:rsidP="00963BA8">
      <w:pPr>
        <w:ind w:left="1440"/>
      </w:pPr>
      <w:r>
        <w:t xml:space="preserve">work that is substantially similar in that it requires substantially similar skill, effort and responsibility and is performed under similar working </w:t>
      </w:r>
      <w:r w:rsidR="00EA7CFA">
        <w:t>conditions</w:t>
      </w:r>
      <w:r>
        <w:t>; provided, however, that a job title or job description alone shall not determine comparability.</w:t>
      </w:r>
    </w:p>
    <w:p w14:paraId="094970C2" w14:textId="79B031B5" w:rsidR="00DD2081" w:rsidRDefault="00B66AFA" w:rsidP="00963BA8">
      <w:pPr>
        <w:ind w:left="1440"/>
      </w:pPr>
      <w:r>
        <w:t xml:space="preserve">  </w:t>
      </w:r>
    </w:p>
    <w:p w14:paraId="6D88D559" w14:textId="2D6A1F64" w:rsidR="00F45C86" w:rsidRDefault="003900B7" w:rsidP="00F8453A">
      <w:pPr>
        <w:spacing w:line="480" w:lineRule="auto"/>
      </w:pPr>
      <w:r>
        <w:rPr>
          <w:i/>
        </w:rPr>
        <w:t>Id.</w:t>
      </w:r>
      <w:r>
        <w:t xml:space="preserve"> at §</w:t>
      </w:r>
      <w:r w:rsidR="00B66AFA">
        <w:t xml:space="preserve"> 2(a).</w:t>
      </w:r>
      <w:r w:rsidR="00963BA8">
        <w:t xml:space="preserve"> </w:t>
      </w:r>
      <w:r w:rsidR="00A768CA">
        <w:t xml:space="preserve">The </w:t>
      </w:r>
      <w:r w:rsidR="002B2638">
        <w:t>Equal Pay</w:t>
      </w:r>
      <w:r w:rsidR="00A768CA">
        <w:t xml:space="preserve"> Act defines “working conditions</w:t>
      </w:r>
      <w:r w:rsidR="004F7B8D">
        <w:t xml:space="preserve">” </w:t>
      </w:r>
      <w:r w:rsidR="00A768CA">
        <w:t>to “include</w:t>
      </w:r>
      <w:r w:rsidR="00963BA8">
        <w:t>”</w:t>
      </w:r>
    </w:p>
    <w:p w14:paraId="4B804774" w14:textId="3352AB02" w:rsidR="00F45C86" w:rsidRDefault="00A768CA" w:rsidP="00C445C0">
      <w:pPr>
        <w:ind w:left="1440"/>
      </w:pPr>
      <w:r>
        <w:t xml:space="preserve">the environmental and other similar circumstances customarily taken into consideration in setting salary or wages, including but not limited to, </w:t>
      </w:r>
      <w:r w:rsidR="00BF5447">
        <w:t>reasonable</w:t>
      </w:r>
      <w:r>
        <w:t xml:space="preserve"> shift differentials, and the physical</w:t>
      </w:r>
      <w:r w:rsidR="008D6174">
        <w:t xml:space="preserve"> s</w:t>
      </w:r>
      <w:r>
        <w:t>urroundings and hazards encountered by employees performing a job</w:t>
      </w:r>
      <w:r w:rsidR="000951FC">
        <w:t>.</w:t>
      </w:r>
    </w:p>
    <w:p w14:paraId="35763113" w14:textId="77777777" w:rsidR="002D212C" w:rsidRDefault="002D212C" w:rsidP="000951FC"/>
    <w:p w14:paraId="440129BD" w14:textId="5ECBA264" w:rsidR="00B94A88" w:rsidRDefault="000951FC" w:rsidP="001654CA">
      <w:pPr>
        <w:spacing w:line="480" w:lineRule="auto"/>
      </w:pPr>
      <w:r>
        <w:rPr>
          <w:i/>
        </w:rPr>
        <w:t>Id</w:t>
      </w:r>
      <w:r w:rsidR="00D30320">
        <w:rPr>
          <w:i/>
        </w:rPr>
        <w:t>.</w:t>
      </w:r>
      <w:r w:rsidR="00D30320">
        <w:t xml:space="preserve"> The Act defines </w:t>
      </w:r>
      <w:r w:rsidR="00A768CA">
        <w:t>“</w:t>
      </w:r>
      <w:r w:rsidR="002D212C">
        <w:t>w</w:t>
      </w:r>
      <w:r w:rsidR="00A768CA">
        <w:t xml:space="preserve">ages” </w:t>
      </w:r>
      <w:r w:rsidR="001F07BE">
        <w:t>as including</w:t>
      </w:r>
      <w:r w:rsidR="00A768CA">
        <w:t xml:space="preserve"> “all forms of remuneration for employment.”</w:t>
      </w:r>
      <w:r>
        <w:t xml:space="preserve"> </w:t>
      </w:r>
      <w:r w:rsidR="00A768CA">
        <w:rPr>
          <w:i/>
        </w:rPr>
        <w:t>Id.</w:t>
      </w:r>
      <w:r w:rsidR="001654CA">
        <w:t xml:space="preserve"> </w:t>
      </w:r>
      <w:r w:rsidR="00EA7CFA">
        <w:t xml:space="preserve">Although employers have long been </w:t>
      </w:r>
      <w:r w:rsidR="00BF5447">
        <w:t>prohibited</w:t>
      </w:r>
      <w:r w:rsidR="00EA7CFA">
        <w:t xml:space="preserve"> from </w:t>
      </w:r>
      <w:r w:rsidR="003900B7">
        <w:t>providing different</w:t>
      </w:r>
      <w:r w:rsidR="00EA7CFA">
        <w:t xml:space="preserve"> wages for comparable work</w:t>
      </w:r>
      <w:r w:rsidR="003900B7">
        <w:t xml:space="preserve"> to people of different genders</w:t>
      </w:r>
      <w:r w:rsidR="00EA7CFA">
        <w:t xml:space="preserve">, </w:t>
      </w:r>
      <w:r w:rsidR="000A47FE">
        <w:t xml:space="preserve">no statutory definition of </w:t>
      </w:r>
      <w:r w:rsidR="00A768CA">
        <w:t>“comparable work”</w:t>
      </w:r>
      <w:r w:rsidR="008B2DB6">
        <w:t xml:space="preserve"> existed prior to the </w:t>
      </w:r>
      <w:r w:rsidR="002B2638">
        <w:t xml:space="preserve">Equal Pay </w:t>
      </w:r>
      <w:r w:rsidR="008B2DB6">
        <w:t>Act.</w:t>
      </w:r>
    </w:p>
    <w:p w14:paraId="35879A1B" w14:textId="371666E5" w:rsidR="001654CA" w:rsidRPr="00FB2D09" w:rsidRDefault="00FB2D09" w:rsidP="00FB2D09">
      <w:pPr>
        <w:pStyle w:val="ListParagraph"/>
        <w:numPr>
          <w:ilvl w:val="0"/>
          <w:numId w:val="6"/>
        </w:numPr>
        <w:spacing w:line="480" w:lineRule="auto"/>
        <w:rPr>
          <w:b/>
        </w:rPr>
      </w:pPr>
      <w:r w:rsidRPr="00FB2D09">
        <w:rPr>
          <w:b/>
        </w:rPr>
        <w:t>The Two-</w:t>
      </w:r>
      <w:r>
        <w:rPr>
          <w:b/>
        </w:rPr>
        <w:t>P</w:t>
      </w:r>
      <w:r w:rsidRPr="00FB2D09">
        <w:rPr>
          <w:b/>
        </w:rPr>
        <w:t xml:space="preserve">art </w:t>
      </w:r>
      <w:r w:rsidRPr="00FB2D09">
        <w:rPr>
          <w:b/>
          <w:i/>
        </w:rPr>
        <w:t>Jancey</w:t>
      </w:r>
      <w:r w:rsidRPr="00FB2D09">
        <w:rPr>
          <w:b/>
        </w:rPr>
        <w:t xml:space="preserve"> Test</w:t>
      </w:r>
      <w:r w:rsidR="008B2DB6" w:rsidRPr="00FB2D09">
        <w:rPr>
          <w:b/>
        </w:rPr>
        <w:t xml:space="preserve"> </w:t>
      </w:r>
    </w:p>
    <w:p w14:paraId="02E0F28A" w14:textId="2C653AF1" w:rsidR="00A768CA" w:rsidRDefault="00A768CA" w:rsidP="001654CA">
      <w:pPr>
        <w:spacing w:line="480" w:lineRule="auto"/>
        <w:ind w:firstLine="720"/>
      </w:pPr>
      <w:r>
        <w:t>In two related cases</w:t>
      </w:r>
      <w:r w:rsidR="004C41D2">
        <w:t xml:space="preserve"> decided prior to the Act</w:t>
      </w:r>
      <w:r w:rsidR="00AB1F43">
        <w:t xml:space="preserve">, </w:t>
      </w:r>
      <w:r w:rsidR="00904653">
        <w:t>where cafeteria</w:t>
      </w:r>
      <w:r>
        <w:t xml:space="preserve"> workers </w:t>
      </w:r>
      <w:r w:rsidR="00E87C96">
        <w:t>raised</w:t>
      </w:r>
      <w:r w:rsidR="00904653">
        <w:t xml:space="preserve"> discrimination</w:t>
      </w:r>
      <w:r w:rsidR="00E87C96">
        <w:t xml:space="preserve"> claims</w:t>
      </w:r>
      <w:r w:rsidR="00904653">
        <w:t xml:space="preserve"> for being paid less than</w:t>
      </w:r>
      <w:r>
        <w:t xml:space="preserve"> custodians in the Everett Public Schools, the </w:t>
      </w:r>
      <w:r w:rsidR="00BF5447">
        <w:lastRenderedPageBreak/>
        <w:t>Massachusetts</w:t>
      </w:r>
      <w:r>
        <w:t xml:space="preserve"> Supreme Judicial Court created a two-part test to determine if the work being performed was comparable.</w:t>
      </w:r>
      <w:r w:rsidR="00547FE4">
        <w:t xml:space="preserve"> </w:t>
      </w:r>
      <w:r>
        <w:rPr>
          <w:i/>
        </w:rPr>
        <w:t>Jancey v</w:t>
      </w:r>
      <w:r w:rsidR="003900B7">
        <w:rPr>
          <w:i/>
        </w:rPr>
        <w:t>. S</w:t>
      </w:r>
      <w:r>
        <w:rPr>
          <w:i/>
        </w:rPr>
        <w:t xml:space="preserve">ch. Comm. of Everett, </w:t>
      </w:r>
      <w:r>
        <w:t xml:space="preserve">427 Mass. 603 (1998); </w:t>
      </w:r>
      <w:r>
        <w:rPr>
          <w:i/>
        </w:rPr>
        <w:t xml:space="preserve">Jancey v. Sch. Comm. of Everett, </w:t>
      </w:r>
      <w:r>
        <w:t>421 Mass. 482 (1995).</w:t>
      </w:r>
      <w:r w:rsidR="00C21CEA">
        <w:t xml:space="preserve"> </w:t>
      </w:r>
      <w:r>
        <w:t xml:space="preserve">Under that two-part analysis, </w:t>
      </w:r>
      <w:r w:rsidR="00474D3D">
        <w:t>it would first be</w:t>
      </w:r>
      <w:r w:rsidR="00904653">
        <w:t xml:space="preserve"> </w:t>
      </w:r>
      <w:r>
        <w:t>determine</w:t>
      </w:r>
      <w:r w:rsidR="00474D3D">
        <w:t>d</w:t>
      </w:r>
      <w:r>
        <w:t xml:space="preserve"> </w:t>
      </w:r>
      <w:r w:rsidR="00474D3D">
        <w:t>“</w:t>
      </w:r>
      <w:r>
        <w:t>whether the substantive content of the jobs is comparable, that is whether the duties of the jobs have ‘</w:t>
      </w:r>
      <w:r w:rsidR="00904653">
        <w:t>important</w:t>
      </w:r>
      <w:r>
        <w:t xml:space="preserve"> common </w:t>
      </w:r>
      <w:r w:rsidR="00904653">
        <w:t>characteristics</w:t>
      </w:r>
      <w:r>
        <w:t>.’”</w:t>
      </w:r>
      <w:r w:rsidR="008F16B0">
        <w:t xml:space="preserve"> </w:t>
      </w:r>
      <w:r>
        <w:rPr>
          <w:i/>
        </w:rPr>
        <w:t>Jancey</w:t>
      </w:r>
      <w:r>
        <w:t>, 421 Mass. at 489.</w:t>
      </w:r>
      <w:r w:rsidR="001B2553">
        <w:t xml:space="preserve"> The SJC art</w:t>
      </w:r>
      <w:r w:rsidR="00727AE9">
        <w:t>iculated that</w:t>
      </w:r>
      <w:r w:rsidR="00914190">
        <w:t>, where two position</w:t>
      </w:r>
      <w:r w:rsidR="008C570F">
        <w:t>s “</w:t>
      </w:r>
      <w:r>
        <w:t>are so dissimilar in their substantive content that a reasonable person would regard them as categorically sep</w:t>
      </w:r>
      <w:r w:rsidR="00904653">
        <w:t>a</w:t>
      </w:r>
      <w:r>
        <w:t>rate</w:t>
      </w:r>
      <w:r w:rsidR="008C570F">
        <w:t>,” t</w:t>
      </w:r>
      <w:r w:rsidR="000D7634">
        <w:t>he jobs</w:t>
      </w:r>
      <w:r>
        <w:t xml:space="preserve"> are </w:t>
      </w:r>
      <w:r w:rsidR="000D7634">
        <w:t>“</w:t>
      </w:r>
      <w:r>
        <w:t xml:space="preserve">not ‘comparable.’”  </w:t>
      </w:r>
      <w:r>
        <w:rPr>
          <w:i/>
        </w:rPr>
        <w:t>Id.</w:t>
      </w:r>
      <w:r>
        <w:t xml:space="preserve"> at 489-90.</w:t>
      </w:r>
      <w:r w:rsidR="00242952">
        <w:t xml:space="preserve"> </w:t>
      </w:r>
      <w:r>
        <w:t xml:space="preserve">Once a determination has been made that “the jobs are comparable in substantive content,” the second part of the </w:t>
      </w:r>
      <w:r w:rsidR="00933A09">
        <w:t>analysis</w:t>
      </w:r>
      <w:r>
        <w:t xml:space="preserve"> </w:t>
      </w:r>
      <w:r w:rsidR="00933A09">
        <w:t>considers</w:t>
      </w:r>
      <w:r>
        <w:t xml:space="preserve"> “wh</w:t>
      </w:r>
      <w:r w:rsidR="00BF5447">
        <w:t>e</w:t>
      </w:r>
      <w:r>
        <w:t>ther the two positions entail comparable skill, effort, respon</w:t>
      </w:r>
      <w:r w:rsidR="00BF5447">
        <w:t>sibility</w:t>
      </w:r>
      <w:r w:rsidR="00904653">
        <w:t>,</w:t>
      </w:r>
      <w:r>
        <w:t xml:space="preserve"> and working </w:t>
      </w:r>
      <w:r w:rsidR="00BF5447">
        <w:t>conditions</w:t>
      </w:r>
      <w:r>
        <w:t>.”</w:t>
      </w:r>
      <w:r w:rsidR="009D43E0">
        <w:t xml:space="preserve"> </w:t>
      </w:r>
      <w:r>
        <w:rPr>
          <w:i/>
        </w:rPr>
        <w:t>Id.</w:t>
      </w:r>
      <w:r>
        <w:t xml:space="preserve"> at 490.</w:t>
      </w:r>
      <w:r w:rsidR="006B58BD">
        <w:t xml:space="preserve"> </w:t>
      </w:r>
      <w:r w:rsidR="00A74A66">
        <w:t>Under this test, p</w:t>
      </w:r>
      <w:r w:rsidR="006B58BD">
        <w:t>ositions only require equal pay</w:t>
      </w:r>
      <w:r w:rsidR="00505940">
        <w:t xml:space="preserve"> if </w:t>
      </w:r>
      <w:r>
        <w:t xml:space="preserve">the answer to both </w:t>
      </w:r>
      <w:r w:rsidR="00B902D2">
        <w:t>inquiries</w:t>
      </w:r>
      <w:r>
        <w:t xml:space="preserve"> is “yes</w:t>
      </w:r>
      <w:r w:rsidR="009B7485">
        <w:t>.</w:t>
      </w:r>
      <w:r>
        <w:t>”</w:t>
      </w:r>
      <w:r w:rsidR="009B7485">
        <w:t xml:space="preserve"> </w:t>
      </w:r>
      <w:r w:rsidR="008D6174">
        <w:t xml:space="preserve">In </w:t>
      </w:r>
      <w:r w:rsidR="009B7485">
        <w:rPr>
          <w:i/>
        </w:rPr>
        <w:t>Jancey</w:t>
      </w:r>
      <w:r w:rsidR="008D6174">
        <w:t>, the cafeteria workers lost, having failed to show that cafeteria and custodian jobs have comparable substantive content under the first prong of the</w:t>
      </w:r>
      <w:r w:rsidR="006924C9">
        <w:t xml:space="preserve"> </w:t>
      </w:r>
      <w:r w:rsidR="008D6174">
        <w:t>test.</w:t>
      </w:r>
      <w:r w:rsidR="000F777F">
        <w:t xml:space="preserve"> </w:t>
      </w:r>
      <w:r w:rsidR="008D6174">
        <w:rPr>
          <w:i/>
        </w:rPr>
        <w:t>Jancey</w:t>
      </w:r>
      <w:r w:rsidR="008D6174">
        <w:t>, 427 Mass. at 607-08.</w:t>
      </w:r>
      <w:r>
        <w:t xml:space="preserve">      </w:t>
      </w:r>
    </w:p>
    <w:p w14:paraId="6F7A6B29" w14:textId="77777777" w:rsidR="00A16AC2" w:rsidRDefault="00EA7CFA" w:rsidP="00FC4258">
      <w:pPr>
        <w:spacing w:line="480" w:lineRule="auto"/>
        <w:ind w:firstLine="720"/>
      </w:pPr>
      <w:r>
        <w:t xml:space="preserve"> </w:t>
      </w:r>
      <w:r w:rsidR="008D6174">
        <w:t xml:space="preserve">Because the </w:t>
      </w:r>
      <w:r w:rsidR="008D6174">
        <w:rPr>
          <w:i/>
        </w:rPr>
        <w:t>Jancey</w:t>
      </w:r>
      <w:r w:rsidR="008D6174">
        <w:t xml:space="preserve"> test limit</w:t>
      </w:r>
      <w:r w:rsidR="00006FBD">
        <w:t>s</w:t>
      </w:r>
      <w:r w:rsidR="008D6174">
        <w:t xml:space="preserve"> the definition of “comparable work”</w:t>
      </w:r>
      <w:r w:rsidR="00904653">
        <w:t xml:space="preserve"> to </w:t>
      </w:r>
      <w:r w:rsidR="00BF5447">
        <w:t>positions</w:t>
      </w:r>
      <w:r w:rsidR="00904653">
        <w:t xml:space="preserve"> with comparable “substantive content,”</w:t>
      </w:r>
      <w:r w:rsidR="008D6174">
        <w:t xml:space="preserve"> it </w:t>
      </w:r>
      <w:r w:rsidR="00A352EE">
        <w:t>i</w:t>
      </w:r>
      <w:r w:rsidR="008D6174">
        <w:t>s difficult for plaintiffs to prevail in cases involving discrimination based on disparate wages</w:t>
      </w:r>
      <w:r w:rsidR="00A352EE">
        <w:t xml:space="preserve"> under that test</w:t>
      </w:r>
      <w:r w:rsidR="008D6174">
        <w:t>.</w:t>
      </w:r>
      <w:r w:rsidR="005B2118">
        <w:t xml:space="preserve"> </w:t>
      </w:r>
      <w:r w:rsidR="008D6174">
        <w:t xml:space="preserve">The </w:t>
      </w:r>
      <w:r w:rsidR="002B2638">
        <w:t>Equal Pay</w:t>
      </w:r>
      <w:r w:rsidR="008D6174">
        <w:t xml:space="preserve"> Act replaces the </w:t>
      </w:r>
      <w:r w:rsidR="008D6174">
        <w:rPr>
          <w:i/>
        </w:rPr>
        <w:t>Jancey</w:t>
      </w:r>
      <w:r w:rsidR="008D6174">
        <w:t xml:space="preserve"> test with </w:t>
      </w:r>
      <w:r w:rsidR="00754B80">
        <w:t xml:space="preserve">the Act’s </w:t>
      </w:r>
      <w:r w:rsidR="00B15036">
        <w:t>definition of “comparable work,”</w:t>
      </w:r>
      <w:r w:rsidR="00A81389">
        <w:t xml:space="preserve"> </w:t>
      </w:r>
      <w:r w:rsidR="008A6B45">
        <w:t xml:space="preserve">outlined </w:t>
      </w:r>
      <w:r w:rsidR="008D6174">
        <w:t>above.</w:t>
      </w:r>
      <w:r w:rsidR="003B1056">
        <w:t xml:space="preserve"> The Act makes it possible </w:t>
      </w:r>
      <w:r w:rsidR="00904653">
        <w:t>for plaintiffs to prove they perform comparable work even if they perform jobs that differ in “substantive content.”</w:t>
      </w:r>
      <w:r w:rsidR="005C17BA">
        <w:t xml:space="preserve"> </w:t>
      </w:r>
    </w:p>
    <w:p w14:paraId="441E8979" w14:textId="74A9C5A7" w:rsidR="00A16AC2" w:rsidRPr="00E562AC" w:rsidRDefault="00376DFE" w:rsidP="00E562AC">
      <w:pPr>
        <w:pStyle w:val="ListParagraph"/>
        <w:numPr>
          <w:ilvl w:val="0"/>
          <w:numId w:val="6"/>
        </w:numPr>
        <w:spacing w:line="480" w:lineRule="auto"/>
        <w:rPr>
          <w:b/>
        </w:rPr>
      </w:pPr>
      <w:r>
        <w:rPr>
          <w:b/>
        </w:rPr>
        <w:t>School Custodial Versus School Cafet</w:t>
      </w:r>
      <w:r w:rsidR="00A07E6B">
        <w:rPr>
          <w:b/>
        </w:rPr>
        <w:t>eria Work</w:t>
      </w:r>
      <w:r w:rsidR="00E562AC">
        <w:rPr>
          <w:b/>
        </w:rPr>
        <w:t>, Post-Act</w:t>
      </w:r>
    </w:p>
    <w:p w14:paraId="2F85EA9A" w14:textId="3F0D4EDD" w:rsidR="006A7A17" w:rsidRDefault="008D6174" w:rsidP="00490711">
      <w:pPr>
        <w:spacing w:line="480" w:lineRule="auto"/>
        <w:ind w:firstLine="720"/>
      </w:pPr>
      <w:r>
        <w:t>Although the</w:t>
      </w:r>
      <w:r w:rsidR="00CD7202">
        <w:t xml:space="preserve"> </w:t>
      </w:r>
      <w:r w:rsidR="00754B80">
        <w:t xml:space="preserve">Act’s </w:t>
      </w:r>
      <w:r w:rsidR="00CD7202">
        <w:t xml:space="preserve">definition of comparable work </w:t>
      </w:r>
      <w:r>
        <w:t xml:space="preserve">does not automatically warrant a finding that custodial and cafeteria work is </w:t>
      </w:r>
      <w:r w:rsidR="00C050D2">
        <w:t>“</w:t>
      </w:r>
      <w:r>
        <w:t>comparable,</w:t>
      </w:r>
      <w:r w:rsidR="00C050D2">
        <w:t>”</w:t>
      </w:r>
      <w:r>
        <w:t xml:space="preserve"> th</w:t>
      </w:r>
      <w:r w:rsidR="00C050D2">
        <w:t xml:space="preserve">is </w:t>
      </w:r>
      <w:r>
        <w:t xml:space="preserve">broader definition of </w:t>
      </w:r>
      <w:r w:rsidR="00515C46">
        <w:t>“</w:t>
      </w:r>
      <w:r>
        <w:t>comparable work</w:t>
      </w:r>
      <w:r w:rsidR="00515C46">
        <w:t>”</w:t>
      </w:r>
      <w:r>
        <w:t xml:space="preserve"> makes it</w:t>
      </w:r>
      <w:r w:rsidR="009B0069">
        <w:t xml:space="preserve"> </w:t>
      </w:r>
      <w:r>
        <w:t xml:space="preserve">likely that at least some cafeteria jobs might be </w:t>
      </w:r>
      <w:r w:rsidR="00515C46">
        <w:t>“</w:t>
      </w:r>
      <w:r w:rsidR="000C25A2">
        <w:t>substantially similar</w:t>
      </w:r>
      <w:r w:rsidR="00515C46">
        <w:t>”</w:t>
      </w:r>
      <w:r w:rsidR="000C25A2">
        <w:t xml:space="preserve"> and </w:t>
      </w:r>
      <w:r w:rsidR="000C25A2">
        <w:lastRenderedPageBreak/>
        <w:t xml:space="preserve">therefore </w:t>
      </w:r>
      <w:r>
        <w:t>comparable to at least some custodial jobs</w:t>
      </w:r>
      <w:r w:rsidR="00846B2C">
        <w:t>, despite being substantively different.</w:t>
      </w:r>
      <w:r w:rsidR="00490711">
        <w:t xml:space="preserve"> The analysis will be fact-dependent. </w:t>
      </w:r>
      <w:r w:rsidR="00511127">
        <w:t xml:space="preserve">A custodian </w:t>
      </w:r>
      <w:r w:rsidR="007516E9">
        <w:t xml:space="preserve">with no specialized skills or training </w:t>
      </w:r>
      <w:r w:rsidR="00511127">
        <w:t xml:space="preserve">who primarily cleans a school </w:t>
      </w:r>
      <w:r w:rsidR="009F7100">
        <w:t xml:space="preserve">is likely </w:t>
      </w:r>
      <w:r w:rsidR="00511127">
        <w:t>doing compar</w:t>
      </w:r>
      <w:r w:rsidR="007516E9">
        <w:t>able work to a cafeteria worker with no specialized training or skills who primarily cleans</w:t>
      </w:r>
      <w:r w:rsidR="00AD54C3">
        <w:t xml:space="preserve"> the </w:t>
      </w:r>
      <w:r w:rsidR="00631300">
        <w:t xml:space="preserve">school’s </w:t>
      </w:r>
      <w:r w:rsidR="00AD54C3">
        <w:t>cafeteria and kitchen</w:t>
      </w:r>
      <w:r w:rsidR="000C25A2">
        <w:t>. In contra</w:t>
      </w:r>
      <w:r w:rsidR="00F81B1D">
        <w:t xml:space="preserve">st, a </w:t>
      </w:r>
      <w:r w:rsidR="00631300">
        <w:t xml:space="preserve">custodian </w:t>
      </w:r>
      <w:r w:rsidR="00D2549A">
        <w:t xml:space="preserve">trained in electrical and plumbing work employed in a position requiring and utilizing those skills and training </w:t>
      </w:r>
      <w:r w:rsidR="00103E1F">
        <w:t xml:space="preserve">would be </w:t>
      </w:r>
      <w:r w:rsidR="00F81B1D">
        <w:t xml:space="preserve">far </w:t>
      </w:r>
      <w:r w:rsidR="00103E1F">
        <w:t xml:space="preserve">less likely to </w:t>
      </w:r>
      <w:r w:rsidR="006A7A17">
        <w:t>be determined to be doing comparable work</w:t>
      </w:r>
      <w:r w:rsidR="004944D4">
        <w:t>.</w:t>
      </w:r>
    </w:p>
    <w:p w14:paraId="7313B85B" w14:textId="6B64C3F2" w:rsidR="001818B0" w:rsidRDefault="00294079" w:rsidP="00490711">
      <w:pPr>
        <w:spacing w:line="480" w:lineRule="auto"/>
        <w:ind w:firstLine="720"/>
      </w:pPr>
      <w:r>
        <w:t xml:space="preserve">Guidance </w:t>
      </w:r>
      <w:r w:rsidR="00593C4D">
        <w:t>issued by the Massachusetts Attorney General’s Office</w:t>
      </w:r>
      <w:r w:rsidR="00490711">
        <w:t xml:space="preserve">, available at: </w:t>
      </w:r>
      <w:r w:rsidR="00F75DA1" w:rsidRPr="00F75DA1">
        <w:t>https://www.mass.gov/files/documents/2018/03/01/AGO%20Equal%20Pay%20Act%20Guidance.pdf</w:t>
      </w:r>
      <w:r w:rsidR="00F75DA1">
        <w:t xml:space="preserve"> (</w:t>
      </w:r>
      <w:r w:rsidR="004B2A5F">
        <w:t xml:space="preserve">rev. March 1, 2018, </w:t>
      </w:r>
      <w:r w:rsidR="00F75DA1">
        <w:rPr>
          <w:i/>
        </w:rPr>
        <w:t xml:space="preserve">see </w:t>
      </w:r>
      <w:r w:rsidR="00F75DA1">
        <w:t>pgs. 5-6)</w:t>
      </w:r>
      <w:r w:rsidR="00490711">
        <w:t xml:space="preserve">, </w:t>
      </w:r>
      <w:r w:rsidR="00800B99">
        <w:t xml:space="preserve">describes </w:t>
      </w:r>
      <w:r w:rsidR="00230D86">
        <w:t xml:space="preserve">the </w:t>
      </w:r>
      <w:r w:rsidR="00800B99">
        <w:t xml:space="preserve">“substantially similar” </w:t>
      </w:r>
      <w:r w:rsidR="00230D86">
        <w:t>pron</w:t>
      </w:r>
      <w:r w:rsidR="00ED2BAB">
        <w:t xml:space="preserve">g of the Act’s definition of comparable work </w:t>
      </w:r>
      <w:r w:rsidR="001C51F0">
        <w:t>relative to</w:t>
      </w:r>
      <w:r w:rsidR="00E10D1B">
        <w:t xml:space="preserve"> “skill, effort and responsibility” </w:t>
      </w:r>
      <w:r w:rsidR="001C51F0">
        <w:t>being “</w:t>
      </w:r>
      <w:r w:rsidR="00E10D1B">
        <w:t xml:space="preserve">alike to a great or significant extent, but not </w:t>
      </w:r>
      <w:r w:rsidR="000A61DD">
        <w:t>necessarily identical or alike in all respects</w:t>
      </w:r>
      <w:r w:rsidR="001818B0">
        <w:t>.</w:t>
      </w:r>
      <w:r w:rsidR="000A61DD">
        <w:t>”</w:t>
      </w:r>
      <w:r w:rsidR="001818B0">
        <w:t xml:space="preserve"> The guidance clarifies that</w:t>
      </w:r>
      <w:r w:rsidR="000A61DD">
        <w:t xml:space="preserve"> “minor differences” will not prevent </w:t>
      </w:r>
      <w:r w:rsidR="008515C1">
        <w:t>two positions from being considered to be comparable.</w:t>
      </w:r>
    </w:p>
    <w:p w14:paraId="3CF3BF4E" w14:textId="3A0C501E" w:rsidR="00071634" w:rsidRDefault="00B67301" w:rsidP="00490711">
      <w:pPr>
        <w:spacing w:line="480" w:lineRule="auto"/>
        <w:ind w:firstLine="720"/>
      </w:pPr>
      <w:r>
        <w:t xml:space="preserve">“Skill” is described as </w:t>
      </w:r>
      <w:r w:rsidR="00E82008">
        <w:t>includ</w:t>
      </w:r>
      <w:r>
        <w:t>ing</w:t>
      </w:r>
      <w:r w:rsidR="000D6A86">
        <w:t xml:space="preserve"> </w:t>
      </w:r>
      <w:r w:rsidR="00E4067B">
        <w:t>“</w:t>
      </w:r>
      <w:r w:rsidR="000D6A86">
        <w:t>such factors as experience, training, education, and ability required to perform the jobs</w:t>
      </w:r>
      <w:r w:rsidR="00F5399A">
        <w:t xml:space="preserve"> . . . measured in terms of the performance requirements of a job, not in terms </w:t>
      </w:r>
      <w:r w:rsidR="001478F6">
        <w:t xml:space="preserve">of the skills that an employee happens to have,” stating that skills not necessary to perform a particular job </w:t>
      </w:r>
      <w:r w:rsidR="004F119E">
        <w:t>are irrelevant.”</w:t>
      </w:r>
      <w:r w:rsidR="0085790E">
        <w:t xml:space="preserve"> </w:t>
      </w:r>
      <w:r w:rsidR="00185689">
        <w:t>T</w:t>
      </w:r>
      <w:r w:rsidR="00696470">
        <w:t>he Attorney General</w:t>
      </w:r>
      <w:r w:rsidR="00185689">
        <w:t xml:space="preserve">’s </w:t>
      </w:r>
      <w:r w:rsidR="009C0F69">
        <w:t xml:space="preserve">Office </w:t>
      </w:r>
      <w:r w:rsidR="00696470">
        <w:t>provides the specific example of, “</w:t>
      </w:r>
      <w:r w:rsidR="006E52BE">
        <w:t>i</w:t>
      </w:r>
      <w:r w:rsidR="00294079">
        <w:t>n an elementary school setting, janitorial and food service jobs generally do not require previous experience in the field or specialized training, and therefore may require comparable skills, even though the substance of the two jobs is different.</w:t>
      </w:r>
      <w:r w:rsidR="006E52BE">
        <w:t xml:space="preserve">” </w:t>
      </w:r>
      <w:r w:rsidR="00F10D08">
        <w:t xml:space="preserve">The example is </w:t>
      </w:r>
      <w:r w:rsidR="00851C39">
        <w:t xml:space="preserve">carried through the Attorney General’s </w:t>
      </w:r>
      <w:r w:rsidR="00AD3C0E">
        <w:t>explanation of</w:t>
      </w:r>
      <w:r w:rsidR="00F10D08">
        <w:t xml:space="preserve"> “</w:t>
      </w:r>
      <w:r w:rsidR="00851C39">
        <w:t>[e]</w:t>
      </w:r>
      <w:r w:rsidR="00294079">
        <w:t>ffort”</w:t>
      </w:r>
      <w:r w:rsidR="00AD3C0E">
        <w:t xml:space="preserve"> as “</w:t>
      </w:r>
      <w:r w:rsidR="00294079">
        <w:t>the amount of physical or mental exertion needed to perform a job</w:t>
      </w:r>
      <w:r w:rsidR="005A6D76">
        <w:t>,</w:t>
      </w:r>
      <w:r w:rsidR="00AD3C0E">
        <w:t xml:space="preserve">” including factors </w:t>
      </w:r>
      <w:r w:rsidR="00896B1E">
        <w:t>causing or alleviating “</w:t>
      </w:r>
      <w:r w:rsidR="00294079">
        <w:t>mental fatigue and stress</w:t>
      </w:r>
      <w:r w:rsidR="00896B1E">
        <w:t>,” opining that the “</w:t>
      </w:r>
      <w:r w:rsidR="00294079">
        <w:t>amount of physical exertion that goes into performing the average janitorial and food service jobs may be substantially similar</w:t>
      </w:r>
      <w:r w:rsidR="00490711">
        <w:t>.”</w:t>
      </w:r>
      <w:r w:rsidR="00141B7B">
        <w:t xml:space="preserve"> The guidance defines </w:t>
      </w:r>
      <w:r w:rsidR="00141B7B">
        <w:lastRenderedPageBreak/>
        <w:t>“responsibility” as “</w:t>
      </w:r>
      <w:r w:rsidR="00141B7B" w:rsidRPr="00141B7B">
        <w:t>the degree of discretion or accountability involved in performing the essential functions of a job, as well as the duties regularly required to be performed for the job</w:t>
      </w:r>
      <w:r w:rsidR="009B0A59">
        <w:t>,” including factors such as supervision and decision-making</w:t>
      </w:r>
      <w:r w:rsidR="00DD047D">
        <w:t xml:space="preserve">, without applying the </w:t>
      </w:r>
      <w:r w:rsidR="0091689E">
        <w:t>janitorial versus food service example.</w:t>
      </w:r>
    </w:p>
    <w:p w14:paraId="056A5F4D" w14:textId="329BA4E2" w:rsidR="00896A87" w:rsidRDefault="00BA6E89" w:rsidP="00490711">
      <w:pPr>
        <w:spacing w:line="480" w:lineRule="auto"/>
        <w:ind w:firstLine="720"/>
      </w:pPr>
      <w:r>
        <w:t xml:space="preserve">The </w:t>
      </w:r>
      <w:r w:rsidR="00F06411">
        <w:t>work</w:t>
      </w:r>
      <w:r w:rsidR="005C4F99">
        <w:t xml:space="preserve"> performed and the environment in which the work is performed </w:t>
      </w:r>
      <w:r w:rsidR="007E0AB5">
        <w:t xml:space="preserve">informs </w:t>
      </w:r>
      <w:r w:rsidR="005B3534">
        <w:t>an</w:t>
      </w:r>
      <w:r w:rsidR="007E0AB5">
        <w:t xml:space="preserve"> analysis of</w:t>
      </w:r>
      <w:r w:rsidR="005C4F99">
        <w:t xml:space="preserve"> whether positions are comparable</w:t>
      </w:r>
      <w:r w:rsidR="007C4A06">
        <w:t>.</w:t>
      </w:r>
      <w:r w:rsidR="00526ED4">
        <w:t xml:space="preserve"> </w:t>
      </w:r>
      <w:r w:rsidR="005E53E5">
        <w:t>Job titles a</w:t>
      </w:r>
      <w:r w:rsidR="00003808">
        <w:t>nd</w:t>
      </w:r>
      <w:r w:rsidR="005E53E5">
        <w:t xml:space="preserve"> </w:t>
      </w:r>
      <w:r w:rsidR="00321B6C">
        <w:t xml:space="preserve">even job descriptions are not necessarily </w:t>
      </w:r>
      <w:r w:rsidR="005E53E5">
        <w:t xml:space="preserve">determinative. </w:t>
      </w:r>
      <w:r w:rsidR="00554094">
        <w:t xml:space="preserve">That being said, </w:t>
      </w:r>
      <w:r w:rsidR="00641361">
        <w:t>m</w:t>
      </w:r>
      <w:r w:rsidR="008570C2">
        <w:t xml:space="preserve">oving forward, districts </w:t>
      </w:r>
      <w:r w:rsidR="00081571">
        <w:t xml:space="preserve">should review job descriptions </w:t>
      </w:r>
      <w:r w:rsidR="008570C2">
        <w:t xml:space="preserve">to determine whether they accurately describe </w:t>
      </w:r>
      <w:r w:rsidR="00F470EC">
        <w:t>the</w:t>
      </w:r>
      <w:r w:rsidR="004B427C">
        <w:t xml:space="preserve"> skill, effort and responsibility </w:t>
      </w:r>
      <w:r w:rsidR="00230D86">
        <w:t>required for the</w:t>
      </w:r>
      <w:r w:rsidR="00F470EC">
        <w:t xml:space="preserve"> </w:t>
      </w:r>
      <w:r w:rsidR="009619FA">
        <w:t xml:space="preserve">work </w:t>
      </w:r>
      <w:r w:rsidR="000823E4">
        <w:t xml:space="preserve">to be </w:t>
      </w:r>
      <w:r w:rsidR="009619FA">
        <w:t>performed.</w:t>
      </w:r>
    </w:p>
    <w:p w14:paraId="309D2E91" w14:textId="5E5157F6" w:rsidR="00D92324" w:rsidRDefault="00D92324" w:rsidP="00393F6D">
      <w:pPr>
        <w:pStyle w:val="ListParagraph"/>
        <w:numPr>
          <w:ilvl w:val="0"/>
          <w:numId w:val="5"/>
        </w:numPr>
        <w:spacing w:line="480" w:lineRule="auto"/>
        <w:rPr>
          <w:b/>
          <w:u w:val="single"/>
        </w:rPr>
      </w:pPr>
      <w:r>
        <w:rPr>
          <w:b/>
          <w:u w:val="single"/>
        </w:rPr>
        <w:t>OTHER PROVISIONS</w:t>
      </w:r>
      <w:r w:rsidR="00A8522A">
        <w:rPr>
          <w:b/>
          <w:u w:val="single"/>
        </w:rPr>
        <w:t xml:space="preserve"> OF THE ACT</w:t>
      </w:r>
    </w:p>
    <w:p w14:paraId="439938E8" w14:textId="75654C1C" w:rsidR="00EA7CFA" w:rsidRPr="007570E4" w:rsidRDefault="007570E4" w:rsidP="007570E4">
      <w:pPr>
        <w:pStyle w:val="ListParagraph"/>
        <w:numPr>
          <w:ilvl w:val="0"/>
          <w:numId w:val="7"/>
        </w:numPr>
        <w:spacing w:line="480" w:lineRule="auto"/>
        <w:rPr>
          <w:b/>
          <w:u w:val="single"/>
        </w:rPr>
      </w:pPr>
      <w:r>
        <w:rPr>
          <w:b/>
        </w:rPr>
        <w:t>Reduction of Wages</w:t>
      </w:r>
      <w:r w:rsidR="00224A43">
        <w:rPr>
          <w:b/>
        </w:rPr>
        <w:t xml:space="preserve"> is</w:t>
      </w:r>
      <w:r w:rsidR="004D1BAF">
        <w:rPr>
          <w:b/>
        </w:rPr>
        <w:t xml:space="preserve"> a</w:t>
      </w:r>
      <w:r w:rsidR="00224A43">
        <w:rPr>
          <w:b/>
        </w:rPr>
        <w:t xml:space="preserve"> Prohibited Method of Compliance</w:t>
      </w:r>
    </w:p>
    <w:p w14:paraId="2A81B31D" w14:textId="477F166B" w:rsidR="008D6174" w:rsidRDefault="00D332EB" w:rsidP="0021723A">
      <w:pPr>
        <w:spacing w:line="480" w:lineRule="auto"/>
        <w:ind w:firstLine="720"/>
      </w:pPr>
      <w:r>
        <w:t>An employer that determines that it is paying an unfair wage differential may not remedy the situation by reducing the wages of any employee solely to comply with the law.</w:t>
      </w:r>
      <w:r w:rsidR="00F2571F">
        <w:t xml:space="preserve"> </w:t>
      </w:r>
      <w:r>
        <w:t xml:space="preserve">Thus, for example, if the District determines that it pays certain female employees less than male employees doing comparable work, the District may not reduce the wages of the male employees to meet its obligations under the </w:t>
      </w:r>
      <w:r w:rsidR="002B2638">
        <w:t xml:space="preserve">Equal Pay </w:t>
      </w:r>
      <w:r>
        <w:t>Act.</w:t>
      </w:r>
      <w:r w:rsidR="00867825">
        <w:rPr>
          <w:rStyle w:val="FootnoteReference"/>
        </w:rPr>
        <w:footnoteReference w:id="1"/>
      </w:r>
    </w:p>
    <w:p w14:paraId="513BF186" w14:textId="6F15FEAE" w:rsidR="0021723A" w:rsidRPr="00224A43" w:rsidRDefault="00224A43" w:rsidP="00224A43">
      <w:pPr>
        <w:pStyle w:val="ListParagraph"/>
        <w:numPr>
          <w:ilvl w:val="0"/>
          <w:numId w:val="7"/>
        </w:numPr>
        <w:spacing w:line="480" w:lineRule="auto"/>
        <w:rPr>
          <w:b/>
        </w:rPr>
      </w:pPr>
      <w:r>
        <w:rPr>
          <w:b/>
        </w:rPr>
        <w:t>Permitted Differentials</w:t>
      </w:r>
    </w:p>
    <w:p w14:paraId="601D7F87" w14:textId="1A6107F9" w:rsidR="00DA5403" w:rsidRDefault="008D6174" w:rsidP="00390AD5">
      <w:pPr>
        <w:spacing w:line="480" w:lineRule="auto"/>
        <w:ind w:firstLine="720"/>
      </w:pPr>
      <w:r>
        <w:t xml:space="preserve">The </w:t>
      </w:r>
      <w:r w:rsidR="002B2638">
        <w:t>Equal Pay</w:t>
      </w:r>
      <w:r>
        <w:t xml:space="preserve"> Act carves out six scenarios in which “variations in wages shall not be prohibited.”</w:t>
      </w:r>
      <w:r w:rsidR="0021723A">
        <w:t xml:space="preserve"> </w:t>
      </w:r>
      <w:r w:rsidR="003D1B1D">
        <w:t xml:space="preserve">Equal Pay </w:t>
      </w:r>
      <w:r>
        <w:t>Act at § 2(b).</w:t>
      </w:r>
      <w:r w:rsidR="0021723A">
        <w:t xml:space="preserve"> </w:t>
      </w:r>
      <w:r w:rsidR="00867825">
        <w:t>Specifically, p</w:t>
      </w:r>
      <w:r w:rsidR="00B15036">
        <w:t>ay differentials across genders for comparable work are permissible if</w:t>
      </w:r>
      <w:r w:rsidR="00BF5447">
        <w:t xml:space="preserve"> they are</w:t>
      </w:r>
      <w:r w:rsidR="00B15036">
        <w:t xml:space="preserve"> based upon</w:t>
      </w:r>
      <w:r>
        <w:t>:</w:t>
      </w:r>
    </w:p>
    <w:p w14:paraId="785D8866" w14:textId="214C0D1D" w:rsidR="008D6174" w:rsidRDefault="00D332EB" w:rsidP="00DA5403">
      <w:pPr>
        <w:pStyle w:val="ListParagraph"/>
        <w:numPr>
          <w:ilvl w:val="0"/>
          <w:numId w:val="2"/>
        </w:numPr>
      </w:pPr>
      <w:r>
        <w:t>A system that rewards seniority with the employer, as long as leaves based on pregnancy-related condition</w:t>
      </w:r>
      <w:r w:rsidR="00C77651">
        <w:t>s</w:t>
      </w:r>
      <w:r>
        <w:t xml:space="preserve"> and protected parental, family and medical leave do not reduce seniority;</w:t>
      </w:r>
    </w:p>
    <w:p w14:paraId="19D6CF14" w14:textId="77777777" w:rsidR="00390AD5" w:rsidRDefault="00390AD5" w:rsidP="00390AD5">
      <w:pPr>
        <w:pStyle w:val="ListParagraph"/>
      </w:pPr>
    </w:p>
    <w:p w14:paraId="2078A7E2" w14:textId="60D2F54A" w:rsidR="00D332EB" w:rsidRDefault="00D332EB" w:rsidP="00DA5403">
      <w:pPr>
        <w:pStyle w:val="ListParagraph"/>
        <w:numPr>
          <w:ilvl w:val="0"/>
          <w:numId w:val="2"/>
        </w:numPr>
      </w:pPr>
      <w:r>
        <w:lastRenderedPageBreak/>
        <w:t>A merit system;</w:t>
      </w:r>
    </w:p>
    <w:p w14:paraId="1818F0DD" w14:textId="77777777" w:rsidR="00390AD5" w:rsidRDefault="00390AD5" w:rsidP="00390AD5"/>
    <w:p w14:paraId="57CCDFE0" w14:textId="7D04E1A2" w:rsidR="00D332EB" w:rsidRDefault="00D332EB" w:rsidP="00DA5403">
      <w:pPr>
        <w:pStyle w:val="ListParagraph"/>
        <w:numPr>
          <w:ilvl w:val="0"/>
          <w:numId w:val="2"/>
        </w:numPr>
      </w:pPr>
      <w:r>
        <w:t>A system that mea</w:t>
      </w:r>
      <w:r w:rsidR="00867825">
        <w:t>s</w:t>
      </w:r>
      <w:r>
        <w:t>ures earnings by quantity or quality of production, sales, or revenue;</w:t>
      </w:r>
    </w:p>
    <w:p w14:paraId="3F50FAC3" w14:textId="77777777" w:rsidR="00390AD5" w:rsidRDefault="00390AD5" w:rsidP="00390AD5"/>
    <w:p w14:paraId="532E5880" w14:textId="41AF4228" w:rsidR="00D332EB" w:rsidRDefault="00D332EB" w:rsidP="00DA5403">
      <w:pPr>
        <w:pStyle w:val="ListParagraph"/>
        <w:numPr>
          <w:ilvl w:val="0"/>
          <w:numId w:val="2"/>
        </w:numPr>
      </w:pPr>
      <w:r>
        <w:t>The geographic location in which the job is performed;</w:t>
      </w:r>
    </w:p>
    <w:p w14:paraId="7B89C99A" w14:textId="77777777" w:rsidR="00390AD5" w:rsidRDefault="00390AD5" w:rsidP="00390AD5"/>
    <w:p w14:paraId="42E83E5A" w14:textId="6AE0D917" w:rsidR="00647178" w:rsidRDefault="00D332EB" w:rsidP="00647178">
      <w:pPr>
        <w:pStyle w:val="ListParagraph"/>
        <w:numPr>
          <w:ilvl w:val="0"/>
          <w:numId w:val="2"/>
        </w:numPr>
      </w:pPr>
      <w:r>
        <w:t>Education, training, or experience to the extent such factors are reaso</w:t>
      </w:r>
      <w:r w:rsidR="00BF5447">
        <w:t>nabl</w:t>
      </w:r>
      <w:r>
        <w:t xml:space="preserve">y related to the </w:t>
      </w:r>
      <w:r w:rsidR="00BF5447">
        <w:t>job</w:t>
      </w:r>
      <w:r>
        <w:t xml:space="preserve"> in question; or</w:t>
      </w:r>
    </w:p>
    <w:p w14:paraId="4EF52E3B" w14:textId="77777777" w:rsidR="00647178" w:rsidRDefault="00647178" w:rsidP="00647178"/>
    <w:p w14:paraId="6F701EC0" w14:textId="39490F48" w:rsidR="00B94A88" w:rsidRDefault="00D332EB" w:rsidP="00071634">
      <w:pPr>
        <w:pStyle w:val="ListParagraph"/>
        <w:numPr>
          <w:ilvl w:val="0"/>
          <w:numId w:val="2"/>
        </w:numPr>
      </w:pPr>
      <w:r>
        <w:t xml:space="preserve">Travel, if the travel is a regular and necessary condition </w:t>
      </w:r>
      <w:r w:rsidR="00867825">
        <w:t>of</w:t>
      </w:r>
      <w:r>
        <w:t xml:space="preserve"> th</w:t>
      </w:r>
      <w:r w:rsidR="00867825">
        <w:t>e</w:t>
      </w:r>
      <w:r>
        <w:t xml:space="preserve"> </w:t>
      </w:r>
      <w:r w:rsidR="00BF5447">
        <w:t>job</w:t>
      </w:r>
      <w:r>
        <w:t>.</w:t>
      </w:r>
    </w:p>
    <w:p w14:paraId="10870A53" w14:textId="77777777" w:rsidR="00E80512" w:rsidRDefault="00E80512" w:rsidP="00E80512"/>
    <w:p w14:paraId="05DC22BC" w14:textId="0A46FD22" w:rsidR="00F808AA" w:rsidRPr="00F808AA" w:rsidRDefault="00647178" w:rsidP="007570E4">
      <w:pPr>
        <w:pStyle w:val="ListParagraph"/>
        <w:numPr>
          <w:ilvl w:val="0"/>
          <w:numId w:val="7"/>
        </w:numPr>
        <w:spacing w:line="480" w:lineRule="auto"/>
        <w:rPr>
          <w:b/>
          <w:u w:val="single"/>
        </w:rPr>
      </w:pPr>
      <w:r>
        <w:rPr>
          <w:b/>
        </w:rPr>
        <w:t>Additional Employee Protections</w:t>
      </w:r>
    </w:p>
    <w:p w14:paraId="3DCDBB36" w14:textId="0380EC05" w:rsidR="00A2798C" w:rsidRDefault="003900B7" w:rsidP="00FC4258">
      <w:pPr>
        <w:spacing w:line="480" w:lineRule="auto"/>
        <w:ind w:firstLine="720"/>
      </w:pPr>
      <w:r>
        <w:t xml:space="preserve">In addition to </w:t>
      </w:r>
      <w:r w:rsidR="0047522A">
        <w:t xml:space="preserve">requiring </w:t>
      </w:r>
      <w:r>
        <w:t xml:space="preserve">equal pay for comparable work, the </w:t>
      </w:r>
      <w:r w:rsidR="003D1B1D">
        <w:t>Equal Pay</w:t>
      </w:r>
      <w:r w:rsidR="00B15036">
        <w:t xml:space="preserve"> Act contains a number of additional provisions</w:t>
      </w:r>
      <w:r w:rsidR="00867825">
        <w:t xml:space="preserve"> aimed at protecting employees</w:t>
      </w:r>
      <w:r w:rsidR="00A2798C">
        <w:t xml:space="preserve">.  </w:t>
      </w:r>
    </w:p>
    <w:p w14:paraId="2EA3E314" w14:textId="4AED3E09" w:rsidR="00A2798C" w:rsidRPr="00A2798C" w:rsidRDefault="00A2798C" w:rsidP="00FC4258">
      <w:pPr>
        <w:spacing w:line="480" w:lineRule="auto"/>
        <w:ind w:firstLine="720"/>
      </w:pPr>
      <w:r>
        <w:t xml:space="preserve">First, the </w:t>
      </w:r>
      <w:r w:rsidR="003D1B1D">
        <w:t xml:space="preserve">Equal Pay </w:t>
      </w:r>
      <w:r>
        <w:t>Act makes it unlawful for an employer to prohibit employees from inquiring about, discussing, or disclosing their own wages or other employees’ wages.</w:t>
      </w:r>
      <w:r>
        <w:rPr>
          <w:rStyle w:val="FootnoteReference"/>
        </w:rPr>
        <w:footnoteReference w:id="2"/>
      </w:r>
      <w:r w:rsidR="00843262">
        <w:t xml:space="preserve"> </w:t>
      </w:r>
      <w:r w:rsidR="00867825">
        <w:rPr>
          <w:i/>
        </w:rPr>
        <w:t>Id.</w:t>
      </w:r>
      <w:r w:rsidR="00867825">
        <w:t xml:space="preserve"> at § 2(c).  </w:t>
      </w:r>
      <w:r>
        <w:t xml:space="preserve">This provision should have little effect on school districts, where most employees’ salaries are public and/or set by collective bargaining agreements.  </w:t>
      </w:r>
    </w:p>
    <w:p w14:paraId="1DEB47EF" w14:textId="5B34B615" w:rsidR="003900B7" w:rsidRDefault="00A2798C" w:rsidP="00FC4258">
      <w:pPr>
        <w:spacing w:line="480" w:lineRule="auto"/>
        <w:ind w:firstLine="720"/>
        <w:rPr>
          <w:i/>
        </w:rPr>
      </w:pPr>
      <w:r>
        <w:t xml:space="preserve">Second, the </w:t>
      </w:r>
      <w:r w:rsidR="003D1B1D">
        <w:t xml:space="preserve">Equal Pay </w:t>
      </w:r>
      <w:r>
        <w:t>Act makes it unlawful for employers to inquire about the wage or salary history of a prospective, current, or former employee</w:t>
      </w:r>
      <w:r w:rsidR="00FA5270">
        <w:t>,</w:t>
      </w:r>
      <w:r>
        <w:t xml:space="preserve"> or</w:t>
      </w:r>
      <w:r w:rsidR="00867825">
        <w:t xml:space="preserve"> to</w:t>
      </w:r>
      <w:r>
        <w:t xml:space="preserve"> require that a prospective employee’s prior wages or salary history meet certain criteria.</w:t>
      </w:r>
      <w:r w:rsidR="0028054D">
        <w:t xml:space="preserve"> </w:t>
      </w:r>
      <w:r>
        <w:rPr>
          <w:i/>
        </w:rPr>
        <w:t>Id.</w:t>
      </w:r>
      <w:r w:rsidR="0028054D">
        <w:rPr>
          <w:i/>
        </w:rPr>
        <w:t xml:space="preserve"> </w:t>
      </w:r>
      <w:r>
        <w:t xml:space="preserve">If an employee or prospective employee has voluntarily disclosed that information, the employer </w:t>
      </w:r>
      <w:r w:rsidR="00867825">
        <w:t>is permitted to</w:t>
      </w:r>
      <w:r>
        <w:t xml:space="preserve"> confirm it.</w:t>
      </w:r>
      <w:r w:rsidR="0028054D">
        <w:t xml:space="preserve"> E</w:t>
      </w:r>
      <w:r>
        <w:t xml:space="preserve">mployers may </w:t>
      </w:r>
      <w:r w:rsidR="0028054D">
        <w:t xml:space="preserve">also </w:t>
      </w:r>
      <w:r>
        <w:t>confirm salary history after an offer of employment with compensation has been made to the employee and negotiated.</w:t>
      </w:r>
      <w:r w:rsidR="00C14A43">
        <w:t xml:space="preserve"> </w:t>
      </w:r>
      <w:r>
        <w:rPr>
          <w:i/>
        </w:rPr>
        <w:t>Id.</w:t>
      </w:r>
    </w:p>
    <w:p w14:paraId="3AA2B474" w14:textId="7AFD489E" w:rsidR="00A2798C" w:rsidRDefault="00A2798C" w:rsidP="00FC4258">
      <w:pPr>
        <w:spacing w:line="480" w:lineRule="auto"/>
        <w:ind w:firstLine="720"/>
      </w:pPr>
      <w:r>
        <w:t xml:space="preserve">Third, </w:t>
      </w:r>
      <w:r w:rsidR="00931518">
        <w:t xml:space="preserve">like most anti-discrimination laws, the </w:t>
      </w:r>
      <w:r w:rsidR="003D1B1D">
        <w:t xml:space="preserve">Equal Pay </w:t>
      </w:r>
      <w:r w:rsidR="00931518">
        <w:t xml:space="preserve">Act makes clear that it is unlawful to </w:t>
      </w:r>
      <w:r w:rsidR="00BF5447">
        <w:t>retaliate</w:t>
      </w:r>
      <w:r w:rsidR="00931518">
        <w:t xml:space="preserve"> against an employee for opposing an unlawful action, filing a complaint, testifying or participating in an </w:t>
      </w:r>
      <w:r w:rsidR="00BF5447">
        <w:t>investigation</w:t>
      </w:r>
      <w:r w:rsidR="00931518">
        <w:t xml:space="preserve"> or proceeding</w:t>
      </w:r>
      <w:r w:rsidR="00E67198">
        <w:t>,</w:t>
      </w:r>
      <w:r w:rsidR="00931518">
        <w:t xml:space="preserve"> or disclosing or discussing employees’ wages.   </w:t>
      </w:r>
    </w:p>
    <w:p w14:paraId="477FAD30" w14:textId="200BB7AC" w:rsidR="00B94A88" w:rsidRPr="00071634" w:rsidRDefault="001000B9" w:rsidP="00071634">
      <w:pPr>
        <w:spacing w:line="480" w:lineRule="auto"/>
        <w:ind w:firstLine="720"/>
        <w:rPr>
          <w:i/>
        </w:rPr>
      </w:pPr>
      <w:r>
        <w:lastRenderedPageBreak/>
        <w:t xml:space="preserve">Finally, the </w:t>
      </w:r>
      <w:r w:rsidR="003D1B1D">
        <w:t xml:space="preserve">Equal Pay </w:t>
      </w:r>
      <w:r w:rsidR="00A2798C">
        <w:t xml:space="preserve">Act </w:t>
      </w:r>
      <w:r w:rsidR="00931518">
        <w:t xml:space="preserve">also </w:t>
      </w:r>
      <w:r w:rsidR="00867825">
        <w:t xml:space="preserve">makes it </w:t>
      </w:r>
      <w:r w:rsidR="00A2798C">
        <w:t xml:space="preserve">unlawful to attempt to contract with an employee to avoid complying with these requirements or otherwise exempt itself, with a narrow exception for certain employees whose jobs require access to other employees’ salary information, such as supervisors and human resources </w:t>
      </w:r>
      <w:r w:rsidR="00931518">
        <w:t>employees.</w:t>
      </w:r>
      <w:r w:rsidR="00653A7B">
        <w:t xml:space="preserve"> </w:t>
      </w:r>
      <w:r w:rsidR="00931518">
        <w:rPr>
          <w:i/>
        </w:rPr>
        <w:t>Id.</w:t>
      </w:r>
    </w:p>
    <w:p w14:paraId="05D4BE51" w14:textId="09BD1229" w:rsidR="00647178" w:rsidRPr="00D85D54" w:rsidRDefault="00D85D54" w:rsidP="00647178">
      <w:pPr>
        <w:pStyle w:val="ListParagraph"/>
        <w:numPr>
          <w:ilvl w:val="0"/>
          <w:numId w:val="5"/>
        </w:numPr>
        <w:spacing w:line="480" w:lineRule="auto"/>
        <w:rPr>
          <w:b/>
        </w:rPr>
      </w:pPr>
      <w:r>
        <w:rPr>
          <w:b/>
          <w:u w:val="single"/>
        </w:rPr>
        <w:t>LIABILITY / PENALTY FOR VIOLATING THE ACT</w:t>
      </w:r>
    </w:p>
    <w:p w14:paraId="28BABEDD" w14:textId="130184BD" w:rsidR="00EA7CFA" w:rsidRDefault="00AC4D0A" w:rsidP="00FC4258">
      <w:pPr>
        <w:spacing w:line="480" w:lineRule="auto"/>
        <w:ind w:firstLine="720"/>
      </w:pPr>
      <w:r>
        <w:t xml:space="preserve">An employer who violates the </w:t>
      </w:r>
      <w:r w:rsidR="003D1B1D">
        <w:t xml:space="preserve">Equal Pay </w:t>
      </w:r>
      <w:r>
        <w:t>Act is liable to the affected employees in the amount of twice the employee’s unpaid wages</w:t>
      </w:r>
      <w:r w:rsidR="00867825">
        <w:t>, plus reasonable attorneys’ fees and costs</w:t>
      </w:r>
      <w:r>
        <w:t>.</w:t>
      </w:r>
      <w:r w:rsidR="00AA61E6">
        <w:t xml:space="preserve"> </w:t>
      </w:r>
      <w:r w:rsidR="00867825">
        <w:t>“</w:t>
      </w:r>
      <w:r>
        <w:t>Unpaid wages</w:t>
      </w:r>
      <w:r w:rsidR="00867825">
        <w:t>”</w:t>
      </w:r>
      <w:r>
        <w:t xml:space="preserve"> refers to the </w:t>
      </w:r>
      <w:r w:rsidR="002656E5">
        <w:t xml:space="preserve">differential in wages – the </w:t>
      </w:r>
      <w:r>
        <w:t>amount the affected employees were paid less than an employee of a different gender performing comparable work</w:t>
      </w:r>
      <w:r w:rsidR="00325F07">
        <w:t xml:space="preserve"> for higher pay</w:t>
      </w:r>
      <w:r>
        <w:t>.   Thus, if affected employees were paid $100 less than employees of a different g</w:t>
      </w:r>
      <w:r w:rsidR="00867825">
        <w:t>e</w:t>
      </w:r>
      <w:r>
        <w:t>nder doing comparable work, the employer is liable for $200 per affected employee ($100 x 2)</w:t>
      </w:r>
      <w:r w:rsidR="00CD5866">
        <w:t xml:space="preserve">, plus reasonable attorneys’ fees and costs. </w:t>
      </w:r>
      <w:r>
        <w:t xml:space="preserve">An employee can recover by bringing a court </w:t>
      </w:r>
      <w:r w:rsidR="008A1092">
        <w:t>action</w:t>
      </w:r>
      <w:r>
        <w:t xml:space="preserve"> o</w:t>
      </w:r>
      <w:r w:rsidR="008A1092">
        <w:t>n</w:t>
      </w:r>
      <w:r>
        <w:t xml:space="preserve"> </w:t>
      </w:r>
      <w:r w:rsidR="00BF5447">
        <w:t>behalf</w:t>
      </w:r>
      <w:r>
        <w:t xml:space="preserve"> of herself</w:t>
      </w:r>
      <w:r w:rsidR="008A1092">
        <w:t>,</w:t>
      </w:r>
      <w:r>
        <w:t xml:space="preserve"> or on behalf of similarly-situated </w:t>
      </w:r>
      <w:r w:rsidR="00BF5447">
        <w:t>employees</w:t>
      </w:r>
      <w:r w:rsidR="008A1092">
        <w:t>,</w:t>
      </w:r>
      <w:r w:rsidR="00BF5447">
        <w:t xml:space="preserve"> and</w:t>
      </w:r>
      <w:r w:rsidR="00A2798C">
        <w:t xml:space="preserve"> need not file a complaint at the Massachusetts Commission Against Discrimination as a prerequisite</w:t>
      </w:r>
      <w:r>
        <w:t>.</w:t>
      </w:r>
      <w:r w:rsidR="008A1092">
        <w:t xml:space="preserve"> </w:t>
      </w:r>
      <w:r w:rsidR="00867825">
        <w:t xml:space="preserve">Job applicants can bring suits for violations of the </w:t>
      </w:r>
      <w:r w:rsidR="003D1B1D">
        <w:t xml:space="preserve">Equal Pay </w:t>
      </w:r>
      <w:r w:rsidR="00867825">
        <w:t>Act (</w:t>
      </w:r>
      <w:r w:rsidR="00867825">
        <w:rPr>
          <w:i/>
        </w:rPr>
        <w:t xml:space="preserve">e.g., </w:t>
      </w:r>
      <w:r w:rsidR="00867825">
        <w:t>an employer asking impermissible questions about a job applicant’s salary history).</w:t>
      </w:r>
      <w:r w:rsidR="00327C8F">
        <w:t xml:space="preserve"> </w:t>
      </w:r>
      <w:r w:rsidR="003B7287">
        <w:t xml:space="preserve">The Attorney General can also </w:t>
      </w:r>
      <w:r w:rsidR="00BF5447">
        <w:t>bring</w:t>
      </w:r>
      <w:r w:rsidR="003B7287">
        <w:t xml:space="preserve"> an action on behalf of one or more employees</w:t>
      </w:r>
      <w:r w:rsidR="00867825">
        <w:t>.</w:t>
      </w:r>
      <w:r w:rsidR="003B7287">
        <w:t xml:space="preserve"> </w:t>
      </w:r>
    </w:p>
    <w:p w14:paraId="0FC155C2" w14:textId="7C771D49" w:rsidR="00DB36C4" w:rsidRDefault="003B7287" w:rsidP="00A8501B">
      <w:pPr>
        <w:spacing w:line="480" w:lineRule="auto"/>
        <w:ind w:firstLine="720"/>
      </w:pPr>
      <w:r>
        <w:t>There is a three-year statute of limitations on claims</w:t>
      </w:r>
      <w:r w:rsidR="00410E10">
        <w:t xml:space="preserve">. </w:t>
      </w:r>
      <w:r>
        <w:t xml:space="preserve">Neither an employee’s salary history nor an employee’s agreement to accept the wages paid serves as a defense for violation </w:t>
      </w:r>
      <w:r w:rsidR="00BF5447">
        <w:t>of</w:t>
      </w:r>
      <w:r>
        <w:t xml:space="preserve"> the </w:t>
      </w:r>
      <w:r w:rsidR="003D1B1D">
        <w:t xml:space="preserve">Equal Pay </w:t>
      </w:r>
      <w:r>
        <w:t>Act.</w:t>
      </w:r>
      <w:r w:rsidR="004A477D">
        <w:t xml:space="preserve"> I</w:t>
      </w:r>
      <w:r w:rsidR="00442AD8">
        <w:t>ntent to discriminate</w:t>
      </w:r>
      <w:r w:rsidR="00F27182">
        <w:t xml:space="preserve"> based on gender is not </w:t>
      </w:r>
      <w:r w:rsidR="00BE627B">
        <w:t xml:space="preserve">required </w:t>
      </w:r>
      <w:r w:rsidR="00A8501B">
        <w:t>to establish liability.</w:t>
      </w:r>
      <w:r w:rsidR="00BE627B">
        <w:t xml:space="preserve"> </w:t>
      </w:r>
      <w:r>
        <w:t>Employers can take steps to limit their liability, however, as discussed</w:t>
      </w:r>
      <w:r w:rsidR="008850EE">
        <w:t xml:space="preserve"> </w:t>
      </w:r>
      <w:r w:rsidR="00BF5447">
        <w:t>below</w:t>
      </w:r>
      <w:r>
        <w:t>.</w:t>
      </w:r>
    </w:p>
    <w:p w14:paraId="6E9DF312" w14:textId="206D8F8C" w:rsidR="00931518" w:rsidRPr="008850EE" w:rsidRDefault="008850EE" w:rsidP="008850EE">
      <w:pPr>
        <w:pStyle w:val="ListParagraph"/>
        <w:numPr>
          <w:ilvl w:val="0"/>
          <w:numId w:val="5"/>
        </w:numPr>
        <w:spacing w:line="480" w:lineRule="auto"/>
        <w:rPr>
          <w:b/>
          <w:u w:val="single"/>
        </w:rPr>
      </w:pPr>
      <w:r w:rsidRPr="008850EE">
        <w:rPr>
          <w:b/>
          <w:u w:val="single"/>
        </w:rPr>
        <w:t>SELF-AUDIT AND CORRECTIVE MEASURES</w:t>
      </w:r>
    </w:p>
    <w:p w14:paraId="1D4677E6" w14:textId="2FAAC2D6" w:rsidR="00931518" w:rsidRDefault="00931518" w:rsidP="00FC4258">
      <w:pPr>
        <w:spacing w:line="480" w:lineRule="auto"/>
        <w:ind w:firstLine="720"/>
      </w:pPr>
      <w:r>
        <w:lastRenderedPageBreak/>
        <w:t xml:space="preserve">Although the potential liability for </w:t>
      </w:r>
      <w:r w:rsidR="0075262E">
        <w:t xml:space="preserve">Equal Pay </w:t>
      </w:r>
      <w:r>
        <w:t xml:space="preserve">Act violations </w:t>
      </w:r>
      <w:r w:rsidR="00867825">
        <w:t>can be</w:t>
      </w:r>
      <w:r>
        <w:t xml:space="preserve"> high, the Act</w:t>
      </w:r>
      <w:r w:rsidR="00BB3972">
        <w:t xml:space="preserve"> </w:t>
      </w:r>
      <w:r>
        <w:t>itself provides employers with some mechanisms to mitigate potential risk.</w:t>
      </w:r>
      <w:r w:rsidR="00811B58">
        <w:t xml:space="preserve"> </w:t>
      </w:r>
      <w:r>
        <w:t>In particular, the Act provides employers with an affirmative defense to liability for pay discrimination claims if the employer, within the previous three (3) years prior to the commencement of the action</w:t>
      </w:r>
      <w:r w:rsidR="00A02AF2">
        <w:t>,</w:t>
      </w:r>
      <w:r>
        <w:t xml:space="preserve"> has both (1) “completed a self-evaluation of its pay practices in good faith” and (2) “can demonstrate that </w:t>
      </w:r>
      <w:r w:rsidR="00BF5447">
        <w:t>reasonable</w:t>
      </w:r>
      <w:r>
        <w:t xml:space="preserve"> progress has been made towards eliminating wage differentials based on gender for comparable work</w:t>
      </w:r>
      <w:r w:rsidR="00A02AF2">
        <w:t>,</w:t>
      </w:r>
      <w:r>
        <w:t>” if any were found during the self-evaluation.</w:t>
      </w:r>
      <w:r w:rsidR="00A02AF2">
        <w:t xml:space="preserve"> </w:t>
      </w:r>
      <w:r>
        <w:rPr>
          <w:i/>
        </w:rPr>
        <w:t>Id</w:t>
      </w:r>
      <w:r>
        <w:t xml:space="preserve"> at § 2(d).</w:t>
      </w:r>
      <w:r w:rsidR="00A02AF2">
        <w:t xml:space="preserve"> </w:t>
      </w:r>
      <w:r w:rsidR="00E971A5">
        <w:t>As noted above, wage differentials cannot be resolved by reducing the wages of</w:t>
      </w:r>
      <w:r w:rsidR="00A02AF2">
        <w:t xml:space="preserve"> </w:t>
      </w:r>
      <w:r w:rsidR="00E971A5">
        <w:t>higher-paid employees.</w:t>
      </w:r>
    </w:p>
    <w:p w14:paraId="05242CFA" w14:textId="4220908C" w:rsidR="00E971A5" w:rsidRDefault="00931518" w:rsidP="00387DB7">
      <w:pPr>
        <w:spacing w:line="480" w:lineRule="auto"/>
        <w:ind w:firstLine="720"/>
      </w:pPr>
      <w:r>
        <w:t>Employers are permitted to design their own self-evaluation “so long as it is reasonable in detail and scope in light of the size of the employer” or is consistent with standard templates issued by the Attorney General.</w:t>
      </w:r>
      <w:r w:rsidR="00A02AF2">
        <w:t xml:space="preserve"> </w:t>
      </w:r>
      <w:r w:rsidR="00867825">
        <w:t>If the self-evaluation is not reasonable in detail and scope, the employer is not entitled to an affirmative defense</w:t>
      </w:r>
      <w:r w:rsidR="00B6528E">
        <w:t>,</w:t>
      </w:r>
      <w:r w:rsidR="00867825">
        <w:t xml:space="preserve"> but </w:t>
      </w:r>
      <w:r w:rsidR="0018294E">
        <w:t xml:space="preserve">is </w:t>
      </w:r>
      <w:r w:rsidR="00867825">
        <w:t>not</w:t>
      </w:r>
      <w:r w:rsidR="0018294E">
        <w:t xml:space="preserve"> </w:t>
      </w:r>
      <w:r w:rsidR="00BF5447">
        <w:t>liable</w:t>
      </w:r>
      <w:r w:rsidR="00867825">
        <w:t xml:space="preserve"> for liquidated damages</w:t>
      </w:r>
      <w:r w:rsidR="00BF5447">
        <w:t xml:space="preserve"> (</w:t>
      </w:r>
      <w:r w:rsidR="00D47AB0">
        <w:t xml:space="preserve">double </w:t>
      </w:r>
      <w:r w:rsidR="00BF5447">
        <w:t>the unpaid wages)</w:t>
      </w:r>
      <w:r w:rsidR="0018294E">
        <w:t xml:space="preserve"> if</w:t>
      </w:r>
      <w:r w:rsidR="00387DB7">
        <w:t xml:space="preserve"> (a) </w:t>
      </w:r>
      <w:r w:rsidR="00867825">
        <w:t xml:space="preserve">the self-evaluation was done in good faith within the previous three years and </w:t>
      </w:r>
      <w:r w:rsidR="00387DB7">
        <w:t xml:space="preserve">(b) </w:t>
      </w:r>
      <w:r w:rsidR="00867825">
        <w:t xml:space="preserve">the employer </w:t>
      </w:r>
      <w:r w:rsidR="00E971A5">
        <w:t>can demonstrate reasonable progress toward eliminating wage differentials based on gender for comparable work</w:t>
      </w:r>
      <w:r w:rsidR="005156AE">
        <w:t xml:space="preserve">. </w:t>
      </w:r>
      <w:r w:rsidR="00E971A5">
        <w:rPr>
          <w:i/>
        </w:rPr>
        <w:t>Id</w:t>
      </w:r>
      <w:r w:rsidR="004674C3">
        <w:rPr>
          <w:i/>
        </w:rPr>
        <w:t xml:space="preserve">. </w:t>
      </w:r>
      <w:r w:rsidR="00E971A5">
        <w:t xml:space="preserve">Employers </w:t>
      </w:r>
      <w:r w:rsidR="004674C3">
        <w:t>not completing</w:t>
      </w:r>
      <w:r w:rsidR="00E971A5">
        <w:t xml:space="preserve"> </w:t>
      </w:r>
      <w:r w:rsidR="004674C3">
        <w:t>a</w:t>
      </w:r>
      <w:r w:rsidR="00E971A5">
        <w:t xml:space="preserve"> self-</w:t>
      </w:r>
      <w:r w:rsidR="00BF5447">
        <w:t>evaluation</w:t>
      </w:r>
      <w:r w:rsidR="00E971A5">
        <w:t xml:space="preserve"> do not face any negative or adverse inferences.</w:t>
      </w:r>
      <w:r w:rsidR="00285881">
        <w:t xml:space="preserve"> </w:t>
      </w:r>
      <w:r w:rsidR="00E971A5">
        <w:rPr>
          <w:i/>
        </w:rPr>
        <w:t>Id.</w:t>
      </w:r>
    </w:p>
    <w:p w14:paraId="7656182F" w14:textId="0A8610C5" w:rsidR="00285881" w:rsidRPr="00285881" w:rsidRDefault="00285881" w:rsidP="00285881">
      <w:pPr>
        <w:pStyle w:val="ListParagraph"/>
        <w:numPr>
          <w:ilvl w:val="0"/>
          <w:numId w:val="5"/>
        </w:numPr>
        <w:spacing w:line="480" w:lineRule="auto"/>
        <w:rPr>
          <w:b/>
        </w:rPr>
      </w:pPr>
      <w:r>
        <w:rPr>
          <w:b/>
        </w:rPr>
        <w:t>CONCLUSION</w:t>
      </w:r>
    </w:p>
    <w:p w14:paraId="13D09C20" w14:textId="5522B98F" w:rsidR="00BF5447" w:rsidRPr="00EA7CFA" w:rsidRDefault="00946B1F" w:rsidP="00490711">
      <w:pPr>
        <w:spacing w:line="480" w:lineRule="auto"/>
        <w:ind w:firstLine="720"/>
      </w:pPr>
      <w:r>
        <w:t xml:space="preserve">The </w:t>
      </w:r>
      <w:r w:rsidR="00BA7CA1">
        <w:t xml:space="preserve">Equal Pay </w:t>
      </w:r>
      <w:r>
        <w:t xml:space="preserve">Act requires </w:t>
      </w:r>
      <w:r w:rsidR="00880730">
        <w:t xml:space="preserve">employers to provide </w:t>
      </w:r>
      <w:r>
        <w:t xml:space="preserve">equal pay for </w:t>
      </w:r>
      <w:r w:rsidR="00AE45E9">
        <w:t>“comparable work” across genders, subject to some gender-neutral exceptions.</w:t>
      </w:r>
      <w:r w:rsidR="00F80446">
        <w:t xml:space="preserve"> Whether work is “comparable” is determined by a factual analysis within the context </w:t>
      </w:r>
      <w:r w:rsidR="00E71858">
        <w:t xml:space="preserve">of </w:t>
      </w:r>
      <w:r w:rsidR="001F4DFE">
        <w:t xml:space="preserve">the Act’s </w:t>
      </w:r>
      <w:r w:rsidR="00E71858">
        <w:t>definition</w:t>
      </w:r>
      <w:r w:rsidR="001F4DFE">
        <w:t xml:space="preserve"> of “comparable work</w:t>
      </w:r>
      <w:r w:rsidR="00E71858">
        <w:t>.</w:t>
      </w:r>
      <w:r w:rsidR="001F4DFE">
        <w:t>”</w:t>
      </w:r>
      <w:r w:rsidR="00E60CFE">
        <w:t xml:space="preserve"> </w:t>
      </w:r>
      <w:r w:rsidR="0047692F">
        <w:t>An</w:t>
      </w:r>
      <w:r w:rsidR="00B22849">
        <w:t xml:space="preserve"> employer</w:t>
      </w:r>
      <w:r w:rsidR="002331D8">
        <w:t xml:space="preserve"> has an opportunity to </w:t>
      </w:r>
      <w:r w:rsidR="005C3687">
        <w:t>limit</w:t>
      </w:r>
      <w:r w:rsidR="000A0438">
        <w:t xml:space="preserve"> liability </w:t>
      </w:r>
      <w:r w:rsidR="00AC7839">
        <w:t xml:space="preserve">under the Act </w:t>
      </w:r>
      <w:r w:rsidR="000A0438">
        <w:t>by conducting reasonable</w:t>
      </w:r>
      <w:r w:rsidR="00604B1F">
        <w:t>, good faith</w:t>
      </w:r>
      <w:r w:rsidR="000A0438">
        <w:t xml:space="preserve"> self-evaluations </w:t>
      </w:r>
      <w:r w:rsidR="00E7562D">
        <w:t xml:space="preserve">and </w:t>
      </w:r>
      <w:r w:rsidR="00604B1F">
        <w:t>mak</w:t>
      </w:r>
      <w:r w:rsidR="00E7562D">
        <w:t>ing</w:t>
      </w:r>
      <w:r w:rsidR="00604B1F">
        <w:t xml:space="preserve"> a showing of reasonable progress toward eliminating </w:t>
      </w:r>
      <w:r w:rsidR="00604B1F">
        <w:lastRenderedPageBreak/>
        <w:t>impermissible wage differentials.</w:t>
      </w:r>
      <w:r w:rsidR="00490711">
        <w:t xml:space="preserve"> </w:t>
      </w:r>
      <w:r w:rsidR="002C5627">
        <w:t xml:space="preserve">Districts should contact local </w:t>
      </w:r>
      <w:r w:rsidR="00F33377">
        <w:t>counsel with any specific questions.</w:t>
      </w:r>
    </w:p>
    <w:sectPr w:rsidR="00BF5447" w:rsidRPr="00EA7C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34E9A" w14:textId="77777777" w:rsidR="00104282" w:rsidRDefault="00104282" w:rsidP="00B15036">
      <w:r>
        <w:separator/>
      </w:r>
    </w:p>
  </w:endnote>
  <w:endnote w:type="continuationSeparator" w:id="0">
    <w:p w14:paraId="421830E0" w14:textId="77777777" w:rsidR="00104282" w:rsidRDefault="00104282" w:rsidP="00B1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916694"/>
      <w:docPartObj>
        <w:docPartGallery w:val="Page Numbers (Bottom of Page)"/>
        <w:docPartUnique/>
      </w:docPartObj>
    </w:sdtPr>
    <w:sdtEndPr>
      <w:rPr>
        <w:noProof/>
        <w:sz w:val="22"/>
        <w:szCs w:val="22"/>
      </w:rPr>
    </w:sdtEndPr>
    <w:sdtContent>
      <w:p w14:paraId="77C02A7F" w14:textId="71BE7E20" w:rsidR="00FC4258" w:rsidRPr="00FC4258" w:rsidRDefault="00FC4258">
        <w:pPr>
          <w:pStyle w:val="Footer"/>
          <w:jc w:val="center"/>
          <w:rPr>
            <w:sz w:val="22"/>
            <w:szCs w:val="22"/>
          </w:rPr>
        </w:pPr>
        <w:r w:rsidRPr="00FC4258">
          <w:rPr>
            <w:sz w:val="22"/>
            <w:szCs w:val="22"/>
          </w:rPr>
          <w:fldChar w:fldCharType="begin"/>
        </w:r>
        <w:r w:rsidRPr="00FC4258">
          <w:rPr>
            <w:sz w:val="22"/>
            <w:szCs w:val="22"/>
          </w:rPr>
          <w:instrText xml:space="preserve"> PAGE   \* MERGEFORMAT </w:instrText>
        </w:r>
        <w:r w:rsidRPr="00FC4258">
          <w:rPr>
            <w:sz w:val="22"/>
            <w:szCs w:val="22"/>
          </w:rPr>
          <w:fldChar w:fldCharType="separate"/>
        </w:r>
        <w:r w:rsidR="00A0090D">
          <w:rPr>
            <w:noProof/>
            <w:sz w:val="22"/>
            <w:szCs w:val="22"/>
          </w:rPr>
          <w:t>2</w:t>
        </w:r>
        <w:r w:rsidRPr="00FC4258">
          <w:rPr>
            <w:noProof/>
            <w:sz w:val="22"/>
            <w:szCs w:val="22"/>
          </w:rPr>
          <w:fldChar w:fldCharType="end"/>
        </w:r>
      </w:p>
    </w:sdtContent>
  </w:sdt>
  <w:p w14:paraId="72A61CCB" w14:textId="77777777" w:rsidR="00FC4258" w:rsidRDefault="00FC4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5CF4B" w14:textId="77777777" w:rsidR="00104282" w:rsidRDefault="00104282" w:rsidP="00B15036">
      <w:r>
        <w:separator/>
      </w:r>
    </w:p>
  </w:footnote>
  <w:footnote w:type="continuationSeparator" w:id="0">
    <w:p w14:paraId="2E8F73B6" w14:textId="77777777" w:rsidR="00104282" w:rsidRDefault="00104282" w:rsidP="00B15036">
      <w:r>
        <w:continuationSeparator/>
      </w:r>
    </w:p>
  </w:footnote>
  <w:footnote w:id="1">
    <w:p w14:paraId="5380EA4F" w14:textId="0B7D2046" w:rsidR="00867825" w:rsidRDefault="00867825">
      <w:pPr>
        <w:pStyle w:val="FootnoteText"/>
      </w:pPr>
      <w:r>
        <w:rPr>
          <w:rStyle w:val="FootnoteReference"/>
        </w:rPr>
        <w:footnoteRef/>
      </w:r>
      <w:r>
        <w:t xml:space="preserve"> If </w:t>
      </w:r>
      <w:r w:rsidR="007805E1">
        <w:t>a d</w:t>
      </w:r>
      <w:r>
        <w:t xml:space="preserve">istrict does uncover </w:t>
      </w:r>
      <w:r w:rsidR="007805E1">
        <w:t xml:space="preserve">impermissible </w:t>
      </w:r>
      <w:r>
        <w:t xml:space="preserve">wage differentials, wage changes for </w:t>
      </w:r>
      <w:r w:rsidR="00350516">
        <w:t xml:space="preserve">unionized </w:t>
      </w:r>
      <w:r>
        <w:t>employees</w:t>
      </w:r>
      <w:r w:rsidR="00F808AA">
        <w:t xml:space="preserve"> </w:t>
      </w:r>
      <w:r>
        <w:t>will need to be completed through the appropriate collective bargaining process.</w:t>
      </w:r>
    </w:p>
  </w:footnote>
  <w:footnote w:id="2">
    <w:p w14:paraId="5EA6AAF0" w14:textId="08E3EF96" w:rsidR="00867825" w:rsidRDefault="00867825">
      <w:pPr>
        <w:pStyle w:val="FootnoteText"/>
      </w:pPr>
      <w:r>
        <w:rPr>
          <w:rStyle w:val="FootnoteReference"/>
        </w:rPr>
        <w:footnoteRef/>
      </w:r>
      <w:r>
        <w:t xml:space="preserve"> Th</w:t>
      </w:r>
      <w:r w:rsidR="00003634">
        <w:t>is</w:t>
      </w:r>
      <w:r>
        <w:t xml:space="preserve"> provision does not require an employer to disclose an employee’s wages to another employee or third party.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0CF"/>
    <w:multiLevelType w:val="hybridMultilevel"/>
    <w:tmpl w:val="9398C088"/>
    <w:lvl w:ilvl="0" w:tplc="BE66FE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726AC"/>
    <w:multiLevelType w:val="hybridMultilevel"/>
    <w:tmpl w:val="550403D8"/>
    <w:lvl w:ilvl="0" w:tplc="A0B032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C04672"/>
    <w:multiLevelType w:val="hybridMultilevel"/>
    <w:tmpl w:val="1FBCC504"/>
    <w:lvl w:ilvl="0" w:tplc="F8DA5A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33D5C"/>
    <w:multiLevelType w:val="hybridMultilevel"/>
    <w:tmpl w:val="8976D480"/>
    <w:lvl w:ilvl="0" w:tplc="482E9E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ED7181"/>
    <w:multiLevelType w:val="hybridMultilevel"/>
    <w:tmpl w:val="B952EDA8"/>
    <w:lvl w:ilvl="0" w:tplc="DF8223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19331D"/>
    <w:multiLevelType w:val="multilevel"/>
    <w:tmpl w:val="C756D132"/>
    <w:lvl w:ilvl="0">
      <w:start w:val="1"/>
      <w:numFmt w:val="upperRoman"/>
      <w:pStyle w:val="Heading1"/>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7EE26908"/>
    <w:multiLevelType w:val="hybridMultilevel"/>
    <w:tmpl w:val="4436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09"/>
    <w:rsid w:val="00000C3E"/>
    <w:rsid w:val="0000245B"/>
    <w:rsid w:val="00003634"/>
    <w:rsid w:val="00003808"/>
    <w:rsid w:val="00006FBD"/>
    <w:rsid w:val="00007A58"/>
    <w:rsid w:val="000113CE"/>
    <w:rsid w:val="0002257B"/>
    <w:rsid w:val="0003799F"/>
    <w:rsid w:val="00037C25"/>
    <w:rsid w:val="000600CE"/>
    <w:rsid w:val="00063AA5"/>
    <w:rsid w:val="00071634"/>
    <w:rsid w:val="00081571"/>
    <w:rsid w:val="000823E4"/>
    <w:rsid w:val="000951FC"/>
    <w:rsid w:val="000A0438"/>
    <w:rsid w:val="000A19E4"/>
    <w:rsid w:val="000A47FE"/>
    <w:rsid w:val="000A61DD"/>
    <w:rsid w:val="000B12ED"/>
    <w:rsid w:val="000C25A2"/>
    <w:rsid w:val="000C3BC2"/>
    <w:rsid w:val="000C5920"/>
    <w:rsid w:val="000D6A86"/>
    <w:rsid w:val="000D7634"/>
    <w:rsid w:val="000F777F"/>
    <w:rsid w:val="001000B9"/>
    <w:rsid w:val="00103E1F"/>
    <w:rsid w:val="00104282"/>
    <w:rsid w:val="0012023A"/>
    <w:rsid w:val="00141B7B"/>
    <w:rsid w:val="001478F6"/>
    <w:rsid w:val="00162133"/>
    <w:rsid w:val="00164482"/>
    <w:rsid w:val="00164F04"/>
    <w:rsid w:val="001654CA"/>
    <w:rsid w:val="001818B0"/>
    <w:rsid w:val="0018294E"/>
    <w:rsid w:val="00185689"/>
    <w:rsid w:val="001B01A5"/>
    <w:rsid w:val="001B2553"/>
    <w:rsid w:val="001C2627"/>
    <w:rsid w:val="001C51F0"/>
    <w:rsid w:val="001D1537"/>
    <w:rsid w:val="001E7CC3"/>
    <w:rsid w:val="001F07BE"/>
    <w:rsid w:val="001F4DFE"/>
    <w:rsid w:val="0021723A"/>
    <w:rsid w:val="00224A43"/>
    <w:rsid w:val="00230D86"/>
    <w:rsid w:val="002331D8"/>
    <w:rsid w:val="00242952"/>
    <w:rsid w:val="00254609"/>
    <w:rsid w:val="002656E5"/>
    <w:rsid w:val="0028054D"/>
    <w:rsid w:val="00285881"/>
    <w:rsid w:val="00294079"/>
    <w:rsid w:val="002B1180"/>
    <w:rsid w:val="002B2638"/>
    <w:rsid w:val="002C5627"/>
    <w:rsid w:val="002D212C"/>
    <w:rsid w:val="00321B6C"/>
    <w:rsid w:val="00325F07"/>
    <w:rsid w:val="00327C8F"/>
    <w:rsid w:val="003350FA"/>
    <w:rsid w:val="00337C8F"/>
    <w:rsid w:val="00350516"/>
    <w:rsid w:val="00365846"/>
    <w:rsid w:val="00376DFE"/>
    <w:rsid w:val="00387DB7"/>
    <w:rsid w:val="003900B7"/>
    <w:rsid w:val="00390AD5"/>
    <w:rsid w:val="00393F6D"/>
    <w:rsid w:val="00396E34"/>
    <w:rsid w:val="003B1056"/>
    <w:rsid w:val="003B7287"/>
    <w:rsid w:val="003C3048"/>
    <w:rsid w:val="003C4276"/>
    <w:rsid w:val="003D1B1D"/>
    <w:rsid w:val="003F2147"/>
    <w:rsid w:val="00410E10"/>
    <w:rsid w:val="00442AD8"/>
    <w:rsid w:val="00466EBB"/>
    <w:rsid w:val="004674C3"/>
    <w:rsid w:val="00467E74"/>
    <w:rsid w:val="00474D3D"/>
    <w:rsid w:val="0047522A"/>
    <w:rsid w:val="004766C7"/>
    <w:rsid w:val="0047692F"/>
    <w:rsid w:val="0048504B"/>
    <w:rsid w:val="00490711"/>
    <w:rsid w:val="004944D4"/>
    <w:rsid w:val="004A477D"/>
    <w:rsid w:val="004B2A5F"/>
    <w:rsid w:val="004B427C"/>
    <w:rsid w:val="004C22D4"/>
    <w:rsid w:val="004C41D2"/>
    <w:rsid w:val="004C6A49"/>
    <w:rsid w:val="004D1BAF"/>
    <w:rsid w:val="004F08A7"/>
    <w:rsid w:val="004F119E"/>
    <w:rsid w:val="004F7B8D"/>
    <w:rsid w:val="00505940"/>
    <w:rsid w:val="005068C9"/>
    <w:rsid w:val="00510575"/>
    <w:rsid w:val="00511127"/>
    <w:rsid w:val="00511B53"/>
    <w:rsid w:val="005156AE"/>
    <w:rsid w:val="00515C46"/>
    <w:rsid w:val="00526ED4"/>
    <w:rsid w:val="005424CA"/>
    <w:rsid w:val="00547FE4"/>
    <w:rsid w:val="005528A3"/>
    <w:rsid w:val="00554094"/>
    <w:rsid w:val="005732D6"/>
    <w:rsid w:val="00582B70"/>
    <w:rsid w:val="005907FB"/>
    <w:rsid w:val="00590CE8"/>
    <w:rsid w:val="00593C4D"/>
    <w:rsid w:val="005A6D76"/>
    <w:rsid w:val="005B2118"/>
    <w:rsid w:val="005B3534"/>
    <w:rsid w:val="005C17BA"/>
    <w:rsid w:val="005C3687"/>
    <w:rsid w:val="005C4F99"/>
    <w:rsid w:val="005C60ED"/>
    <w:rsid w:val="005D03BC"/>
    <w:rsid w:val="005D168E"/>
    <w:rsid w:val="005E1B00"/>
    <w:rsid w:val="005E53E5"/>
    <w:rsid w:val="00604B1F"/>
    <w:rsid w:val="00631300"/>
    <w:rsid w:val="00641361"/>
    <w:rsid w:val="0064343A"/>
    <w:rsid w:val="00647178"/>
    <w:rsid w:val="006479B6"/>
    <w:rsid w:val="00653A7B"/>
    <w:rsid w:val="00663A59"/>
    <w:rsid w:val="00664DBB"/>
    <w:rsid w:val="006924C9"/>
    <w:rsid w:val="00692DBC"/>
    <w:rsid w:val="00696470"/>
    <w:rsid w:val="006A7A17"/>
    <w:rsid w:val="006B3E80"/>
    <w:rsid w:val="006B58BD"/>
    <w:rsid w:val="006C5AA9"/>
    <w:rsid w:val="006E0F79"/>
    <w:rsid w:val="006E52BE"/>
    <w:rsid w:val="007243B4"/>
    <w:rsid w:val="00727AE9"/>
    <w:rsid w:val="007354D2"/>
    <w:rsid w:val="007516E9"/>
    <w:rsid w:val="0075262E"/>
    <w:rsid w:val="00754B80"/>
    <w:rsid w:val="007570E4"/>
    <w:rsid w:val="00762A7F"/>
    <w:rsid w:val="007805E1"/>
    <w:rsid w:val="00782EB9"/>
    <w:rsid w:val="007C0F97"/>
    <w:rsid w:val="007C4A06"/>
    <w:rsid w:val="007E0AB5"/>
    <w:rsid w:val="007E4120"/>
    <w:rsid w:val="00800B99"/>
    <w:rsid w:val="00803DB9"/>
    <w:rsid w:val="00811B58"/>
    <w:rsid w:val="0082742F"/>
    <w:rsid w:val="00843262"/>
    <w:rsid w:val="00846104"/>
    <w:rsid w:val="00846B2C"/>
    <w:rsid w:val="008515C1"/>
    <w:rsid w:val="00851C39"/>
    <w:rsid w:val="008570C2"/>
    <w:rsid w:val="0085790E"/>
    <w:rsid w:val="00860CAF"/>
    <w:rsid w:val="00867825"/>
    <w:rsid w:val="00880730"/>
    <w:rsid w:val="008850EE"/>
    <w:rsid w:val="0088681F"/>
    <w:rsid w:val="00896A87"/>
    <w:rsid w:val="00896B1E"/>
    <w:rsid w:val="008A1092"/>
    <w:rsid w:val="008A520D"/>
    <w:rsid w:val="008A6B45"/>
    <w:rsid w:val="008B2DB6"/>
    <w:rsid w:val="008C570F"/>
    <w:rsid w:val="008D6174"/>
    <w:rsid w:val="008F16B0"/>
    <w:rsid w:val="008F363C"/>
    <w:rsid w:val="008F6AF1"/>
    <w:rsid w:val="00904653"/>
    <w:rsid w:val="00914190"/>
    <w:rsid w:val="0091689E"/>
    <w:rsid w:val="009235C4"/>
    <w:rsid w:val="00931518"/>
    <w:rsid w:val="009318E5"/>
    <w:rsid w:val="00933A09"/>
    <w:rsid w:val="00946B1F"/>
    <w:rsid w:val="009528E5"/>
    <w:rsid w:val="00954746"/>
    <w:rsid w:val="0095549E"/>
    <w:rsid w:val="009619FA"/>
    <w:rsid w:val="00962253"/>
    <w:rsid w:val="00963BA8"/>
    <w:rsid w:val="00971407"/>
    <w:rsid w:val="009821BA"/>
    <w:rsid w:val="009839AD"/>
    <w:rsid w:val="00984BED"/>
    <w:rsid w:val="00987EE4"/>
    <w:rsid w:val="009B0069"/>
    <w:rsid w:val="009B0A59"/>
    <w:rsid w:val="009B7485"/>
    <w:rsid w:val="009C0F69"/>
    <w:rsid w:val="009D43E0"/>
    <w:rsid w:val="009F7100"/>
    <w:rsid w:val="00A0090D"/>
    <w:rsid w:val="00A02AF2"/>
    <w:rsid w:val="00A07E6B"/>
    <w:rsid w:val="00A12301"/>
    <w:rsid w:val="00A16AC2"/>
    <w:rsid w:val="00A214FE"/>
    <w:rsid w:val="00A2798C"/>
    <w:rsid w:val="00A30826"/>
    <w:rsid w:val="00A352EE"/>
    <w:rsid w:val="00A47820"/>
    <w:rsid w:val="00A62146"/>
    <w:rsid w:val="00A748FF"/>
    <w:rsid w:val="00A74A66"/>
    <w:rsid w:val="00A768CA"/>
    <w:rsid w:val="00A81389"/>
    <w:rsid w:val="00A8501B"/>
    <w:rsid w:val="00A8522A"/>
    <w:rsid w:val="00A936D4"/>
    <w:rsid w:val="00A941DC"/>
    <w:rsid w:val="00A971B5"/>
    <w:rsid w:val="00AA5990"/>
    <w:rsid w:val="00AA61E6"/>
    <w:rsid w:val="00AB1F43"/>
    <w:rsid w:val="00AC4D0A"/>
    <w:rsid w:val="00AC7839"/>
    <w:rsid w:val="00AD3C0E"/>
    <w:rsid w:val="00AD54C3"/>
    <w:rsid w:val="00AE45E9"/>
    <w:rsid w:val="00B007E2"/>
    <w:rsid w:val="00B15036"/>
    <w:rsid w:val="00B1736A"/>
    <w:rsid w:val="00B22849"/>
    <w:rsid w:val="00B26558"/>
    <w:rsid w:val="00B37153"/>
    <w:rsid w:val="00B53049"/>
    <w:rsid w:val="00B6528E"/>
    <w:rsid w:val="00B66AFA"/>
    <w:rsid w:val="00B67301"/>
    <w:rsid w:val="00B902D2"/>
    <w:rsid w:val="00B94A88"/>
    <w:rsid w:val="00BA358C"/>
    <w:rsid w:val="00BA6E89"/>
    <w:rsid w:val="00BA7CA1"/>
    <w:rsid w:val="00BB3972"/>
    <w:rsid w:val="00BB3AFF"/>
    <w:rsid w:val="00BE627B"/>
    <w:rsid w:val="00BF2AC3"/>
    <w:rsid w:val="00BF5447"/>
    <w:rsid w:val="00C050D2"/>
    <w:rsid w:val="00C06A22"/>
    <w:rsid w:val="00C14A43"/>
    <w:rsid w:val="00C209DA"/>
    <w:rsid w:val="00C21683"/>
    <w:rsid w:val="00C21CEA"/>
    <w:rsid w:val="00C445C0"/>
    <w:rsid w:val="00C77651"/>
    <w:rsid w:val="00C9086C"/>
    <w:rsid w:val="00CA0DBB"/>
    <w:rsid w:val="00CA525A"/>
    <w:rsid w:val="00CB137A"/>
    <w:rsid w:val="00CB6A1F"/>
    <w:rsid w:val="00CD562E"/>
    <w:rsid w:val="00CD5866"/>
    <w:rsid w:val="00CD7202"/>
    <w:rsid w:val="00CE01AC"/>
    <w:rsid w:val="00D069EF"/>
    <w:rsid w:val="00D2549A"/>
    <w:rsid w:val="00D30320"/>
    <w:rsid w:val="00D332EB"/>
    <w:rsid w:val="00D362C3"/>
    <w:rsid w:val="00D3655F"/>
    <w:rsid w:val="00D40004"/>
    <w:rsid w:val="00D47AB0"/>
    <w:rsid w:val="00D57E38"/>
    <w:rsid w:val="00D8258A"/>
    <w:rsid w:val="00D858A8"/>
    <w:rsid w:val="00D85D54"/>
    <w:rsid w:val="00D916F5"/>
    <w:rsid w:val="00D92324"/>
    <w:rsid w:val="00DA5403"/>
    <w:rsid w:val="00DB0DF4"/>
    <w:rsid w:val="00DB36C4"/>
    <w:rsid w:val="00DC5B66"/>
    <w:rsid w:val="00DD047D"/>
    <w:rsid w:val="00DD2081"/>
    <w:rsid w:val="00DD73F1"/>
    <w:rsid w:val="00E05540"/>
    <w:rsid w:val="00E0700A"/>
    <w:rsid w:val="00E10D1B"/>
    <w:rsid w:val="00E1243B"/>
    <w:rsid w:val="00E20010"/>
    <w:rsid w:val="00E2616F"/>
    <w:rsid w:val="00E27EA8"/>
    <w:rsid w:val="00E3240F"/>
    <w:rsid w:val="00E4067B"/>
    <w:rsid w:val="00E4629E"/>
    <w:rsid w:val="00E562AC"/>
    <w:rsid w:val="00E607C6"/>
    <w:rsid w:val="00E60CFE"/>
    <w:rsid w:val="00E67198"/>
    <w:rsid w:val="00E71858"/>
    <w:rsid w:val="00E72C00"/>
    <w:rsid w:val="00E72E49"/>
    <w:rsid w:val="00E7562D"/>
    <w:rsid w:val="00E80512"/>
    <w:rsid w:val="00E82008"/>
    <w:rsid w:val="00E87C96"/>
    <w:rsid w:val="00E91137"/>
    <w:rsid w:val="00E971A5"/>
    <w:rsid w:val="00EA6F69"/>
    <w:rsid w:val="00EA7CFA"/>
    <w:rsid w:val="00EB66DC"/>
    <w:rsid w:val="00EC48B7"/>
    <w:rsid w:val="00ED2BAB"/>
    <w:rsid w:val="00F06411"/>
    <w:rsid w:val="00F10D08"/>
    <w:rsid w:val="00F166B9"/>
    <w:rsid w:val="00F2571F"/>
    <w:rsid w:val="00F27182"/>
    <w:rsid w:val="00F33377"/>
    <w:rsid w:val="00F45C86"/>
    <w:rsid w:val="00F470EC"/>
    <w:rsid w:val="00F5399A"/>
    <w:rsid w:val="00F61D7F"/>
    <w:rsid w:val="00F64684"/>
    <w:rsid w:val="00F65501"/>
    <w:rsid w:val="00F75DA1"/>
    <w:rsid w:val="00F80446"/>
    <w:rsid w:val="00F808AA"/>
    <w:rsid w:val="00F81B1D"/>
    <w:rsid w:val="00F8453A"/>
    <w:rsid w:val="00F94415"/>
    <w:rsid w:val="00FA5270"/>
    <w:rsid w:val="00FA7089"/>
    <w:rsid w:val="00FB2D09"/>
    <w:rsid w:val="00FC4258"/>
    <w:rsid w:val="00FC63B7"/>
    <w:rsid w:val="00FC6BA9"/>
    <w:rsid w:val="00FD0193"/>
    <w:rsid w:val="00FD28EF"/>
    <w:rsid w:val="00FE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6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6AFA"/>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66AFA"/>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66AFA"/>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66AFA"/>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6AF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6AF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6AF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6A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6A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609"/>
    <w:rPr>
      <w:color w:val="0000FF"/>
      <w:u w:val="single"/>
    </w:rPr>
  </w:style>
  <w:style w:type="character" w:customStyle="1" w:styleId="Heading1Char">
    <w:name w:val="Heading 1 Char"/>
    <w:basedOn w:val="DefaultParagraphFont"/>
    <w:link w:val="Heading1"/>
    <w:uiPriority w:val="9"/>
    <w:rsid w:val="00B66AF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66A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66A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66AF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B66AF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B66AF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66AF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B66A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6AFA"/>
    <w:rPr>
      <w:rFonts w:asciiTheme="majorHAnsi" w:eastAsiaTheme="majorEastAsia" w:hAnsiTheme="majorHAnsi" w:cstheme="majorBidi"/>
      <w:i/>
      <w:iCs/>
      <w:color w:val="272727" w:themeColor="text1" w:themeTint="D8"/>
      <w:sz w:val="21"/>
      <w:szCs w:val="21"/>
    </w:rPr>
  </w:style>
  <w:style w:type="paragraph" w:customStyle="1" w:styleId="HeadingI">
    <w:name w:val="Heading I"/>
    <w:basedOn w:val="Heading1"/>
    <w:link w:val="HeadingIChar"/>
    <w:qFormat/>
    <w:rsid w:val="00B66AFA"/>
    <w:rPr>
      <w:rFonts w:ascii="Times New Roman" w:hAnsi="Times New Roman" w:cs="Times New Roman"/>
      <w:b/>
      <w:caps/>
      <w:color w:val="auto"/>
      <w:sz w:val="24"/>
      <w:szCs w:val="24"/>
      <w:u w:val="single"/>
    </w:rPr>
  </w:style>
  <w:style w:type="paragraph" w:customStyle="1" w:styleId="AStyle">
    <w:name w:val="A Style"/>
    <w:basedOn w:val="Heading2"/>
    <w:link w:val="AStyleChar"/>
    <w:qFormat/>
    <w:rsid w:val="00B66AFA"/>
    <w:rPr>
      <w:rFonts w:ascii="Times New Roman" w:hAnsi="Times New Roman" w:cs="Times New Roman"/>
      <w:b/>
      <w:color w:val="auto"/>
      <w:sz w:val="24"/>
      <w:u w:val="single"/>
    </w:rPr>
  </w:style>
  <w:style w:type="character" w:customStyle="1" w:styleId="HeadingIChar">
    <w:name w:val="Heading I Char"/>
    <w:basedOn w:val="Heading1Char"/>
    <w:link w:val="HeadingI"/>
    <w:rsid w:val="00B66AFA"/>
    <w:rPr>
      <w:rFonts w:ascii="Times New Roman" w:eastAsiaTheme="majorEastAsia" w:hAnsi="Times New Roman" w:cs="Times New Roman"/>
      <w:b/>
      <w:caps/>
      <w:color w:val="365F91" w:themeColor="accent1" w:themeShade="BF"/>
      <w:sz w:val="24"/>
      <w:szCs w:val="24"/>
      <w:u w:val="single"/>
    </w:rPr>
  </w:style>
  <w:style w:type="paragraph" w:styleId="ListParagraph">
    <w:name w:val="List Paragraph"/>
    <w:basedOn w:val="Normal"/>
    <w:uiPriority w:val="34"/>
    <w:qFormat/>
    <w:rsid w:val="00D332EB"/>
    <w:pPr>
      <w:ind w:left="720"/>
      <w:contextualSpacing/>
    </w:pPr>
  </w:style>
  <w:style w:type="character" w:customStyle="1" w:styleId="AStyleChar">
    <w:name w:val="A Style Char"/>
    <w:basedOn w:val="Heading2Char"/>
    <w:link w:val="AStyle"/>
    <w:rsid w:val="00B66AFA"/>
    <w:rPr>
      <w:rFonts w:ascii="Times New Roman" w:eastAsiaTheme="majorEastAsia" w:hAnsi="Times New Roman" w:cs="Times New Roman"/>
      <w:b/>
      <w:color w:val="365F91" w:themeColor="accent1" w:themeShade="BF"/>
      <w:sz w:val="24"/>
      <w:szCs w:val="26"/>
      <w:u w:val="single"/>
    </w:rPr>
  </w:style>
  <w:style w:type="paragraph" w:styleId="FootnoteText">
    <w:name w:val="footnote text"/>
    <w:basedOn w:val="Normal"/>
    <w:link w:val="FootnoteTextChar"/>
    <w:uiPriority w:val="99"/>
    <w:semiHidden/>
    <w:unhideWhenUsed/>
    <w:rsid w:val="00B15036"/>
    <w:rPr>
      <w:sz w:val="20"/>
      <w:szCs w:val="20"/>
    </w:rPr>
  </w:style>
  <w:style w:type="character" w:customStyle="1" w:styleId="FootnoteTextChar">
    <w:name w:val="Footnote Text Char"/>
    <w:basedOn w:val="DefaultParagraphFont"/>
    <w:link w:val="FootnoteText"/>
    <w:uiPriority w:val="99"/>
    <w:semiHidden/>
    <w:rsid w:val="00B1503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5036"/>
    <w:rPr>
      <w:vertAlign w:val="superscript"/>
    </w:rPr>
  </w:style>
  <w:style w:type="paragraph" w:styleId="Header">
    <w:name w:val="header"/>
    <w:basedOn w:val="Normal"/>
    <w:link w:val="HeaderChar"/>
    <w:uiPriority w:val="99"/>
    <w:unhideWhenUsed/>
    <w:rsid w:val="00FC4258"/>
    <w:pPr>
      <w:tabs>
        <w:tab w:val="center" w:pos="4680"/>
        <w:tab w:val="right" w:pos="9360"/>
      </w:tabs>
    </w:pPr>
  </w:style>
  <w:style w:type="character" w:customStyle="1" w:styleId="HeaderChar">
    <w:name w:val="Header Char"/>
    <w:basedOn w:val="DefaultParagraphFont"/>
    <w:link w:val="Header"/>
    <w:uiPriority w:val="99"/>
    <w:rsid w:val="00FC42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4258"/>
    <w:pPr>
      <w:tabs>
        <w:tab w:val="center" w:pos="4680"/>
        <w:tab w:val="right" w:pos="9360"/>
      </w:tabs>
    </w:pPr>
  </w:style>
  <w:style w:type="character" w:customStyle="1" w:styleId="FooterChar">
    <w:name w:val="Footer Char"/>
    <w:basedOn w:val="DefaultParagraphFont"/>
    <w:link w:val="Footer"/>
    <w:uiPriority w:val="99"/>
    <w:rsid w:val="00FC4258"/>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90711"/>
    <w:rPr>
      <w:color w:val="808080"/>
      <w:shd w:val="clear" w:color="auto" w:fill="E6E6E6"/>
    </w:rPr>
  </w:style>
  <w:style w:type="paragraph" w:styleId="BalloonText">
    <w:name w:val="Balloon Text"/>
    <w:basedOn w:val="Normal"/>
    <w:link w:val="BalloonTextChar"/>
    <w:uiPriority w:val="99"/>
    <w:semiHidden/>
    <w:unhideWhenUsed/>
    <w:rsid w:val="00896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A8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6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6AFA"/>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66AFA"/>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66AFA"/>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66AFA"/>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6AF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6AF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6AF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6A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6A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609"/>
    <w:rPr>
      <w:color w:val="0000FF"/>
      <w:u w:val="single"/>
    </w:rPr>
  </w:style>
  <w:style w:type="character" w:customStyle="1" w:styleId="Heading1Char">
    <w:name w:val="Heading 1 Char"/>
    <w:basedOn w:val="DefaultParagraphFont"/>
    <w:link w:val="Heading1"/>
    <w:uiPriority w:val="9"/>
    <w:rsid w:val="00B66AF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66A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66A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66AF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B66AF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B66AF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66AF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B66A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6AFA"/>
    <w:rPr>
      <w:rFonts w:asciiTheme="majorHAnsi" w:eastAsiaTheme="majorEastAsia" w:hAnsiTheme="majorHAnsi" w:cstheme="majorBidi"/>
      <w:i/>
      <w:iCs/>
      <w:color w:val="272727" w:themeColor="text1" w:themeTint="D8"/>
      <w:sz w:val="21"/>
      <w:szCs w:val="21"/>
    </w:rPr>
  </w:style>
  <w:style w:type="paragraph" w:customStyle="1" w:styleId="HeadingI">
    <w:name w:val="Heading I"/>
    <w:basedOn w:val="Heading1"/>
    <w:link w:val="HeadingIChar"/>
    <w:qFormat/>
    <w:rsid w:val="00B66AFA"/>
    <w:rPr>
      <w:rFonts w:ascii="Times New Roman" w:hAnsi="Times New Roman" w:cs="Times New Roman"/>
      <w:b/>
      <w:caps/>
      <w:color w:val="auto"/>
      <w:sz w:val="24"/>
      <w:szCs w:val="24"/>
      <w:u w:val="single"/>
    </w:rPr>
  </w:style>
  <w:style w:type="paragraph" w:customStyle="1" w:styleId="AStyle">
    <w:name w:val="A Style"/>
    <w:basedOn w:val="Heading2"/>
    <w:link w:val="AStyleChar"/>
    <w:qFormat/>
    <w:rsid w:val="00B66AFA"/>
    <w:rPr>
      <w:rFonts w:ascii="Times New Roman" w:hAnsi="Times New Roman" w:cs="Times New Roman"/>
      <w:b/>
      <w:color w:val="auto"/>
      <w:sz w:val="24"/>
      <w:u w:val="single"/>
    </w:rPr>
  </w:style>
  <w:style w:type="character" w:customStyle="1" w:styleId="HeadingIChar">
    <w:name w:val="Heading I Char"/>
    <w:basedOn w:val="Heading1Char"/>
    <w:link w:val="HeadingI"/>
    <w:rsid w:val="00B66AFA"/>
    <w:rPr>
      <w:rFonts w:ascii="Times New Roman" w:eastAsiaTheme="majorEastAsia" w:hAnsi="Times New Roman" w:cs="Times New Roman"/>
      <w:b/>
      <w:caps/>
      <w:color w:val="365F91" w:themeColor="accent1" w:themeShade="BF"/>
      <w:sz w:val="24"/>
      <w:szCs w:val="24"/>
      <w:u w:val="single"/>
    </w:rPr>
  </w:style>
  <w:style w:type="paragraph" w:styleId="ListParagraph">
    <w:name w:val="List Paragraph"/>
    <w:basedOn w:val="Normal"/>
    <w:uiPriority w:val="34"/>
    <w:qFormat/>
    <w:rsid w:val="00D332EB"/>
    <w:pPr>
      <w:ind w:left="720"/>
      <w:contextualSpacing/>
    </w:pPr>
  </w:style>
  <w:style w:type="character" w:customStyle="1" w:styleId="AStyleChar">
    <w:name w:val="A Style Char"/>
    <w:basedOn w:val="Heading2Char"/>
    <w:link w:val="AStyle"/>
    <w:rsid w:val="00B66AFA"/>
    <w:rPr>
      <w:rFonts w:ascii="Times New Roman" w:eastAsiaTheme="majorEastAsia" w:hAnsi="Times New Roman" w:cs="Times New Roman"/>
      <w:b/>
      <w:color w:val="365F91" w:themeColor="accent1" w:themeShade="BF"/>
      <w:sz w:val="24"/>
      <w:szCs w:val="26"/>
      <w:u w:val="single"/>
    </w:rPr>
  </w:style>
  <w:style w:type="paragraph" w:styleId="FootnoteText">
    <w:name w:val="footnote text"/>
    <w:basedOn w:val="Normal"/>
    <w:link w:val="FootnoteTextChar"/>
    <w:uiPriority w:val="99"/>
    <w:semiHidden/>
    <w:unhideWhenUsed/>
    <w:rsid w:val="00B15036"/>
    <w:rPr>
      <w:sz w:val="20"/>
      <w:szCs w:val="20"/>
    </w:rPr>
  </w:style>
  <w:style w:type="character" w:customStyle="1" w:styleId="FootnoteTextChar">
    <w:name w:val="Footnote Text Char"/>
    <w:basedOn w:val="DefaultParagraphFont"/>
    <w:link w:val="FootnoteText"/>
    <w:uiPriority w:val="99"/>
    <w:semiHidden/>
    <w:rsid w:val="00B1503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5036"/>
    <w:rPr>
      <w:vertAlign w:val="superscript"/>
    </w:rPr>
  </w:style>
  <w:style w:type="paragraph" w:styleId="Header">
    <w:name w:val="header"/>
    <w:basedOn w:val="Normal"/>
    <w:link w:val="HeaderChar"/>
    <w:uiPriority w:val="99"/>
    <w:unhideWhenUsed/>
    <w:rsid w:val="00FC4258"/>
    <w:pPr>
      <w:tabs>
        <w:tab w:val="center" w:pos="4680"/>
        <w:tab w:val="right" w:pos="9360"/>
      </w:tabs>
    </w:pPr>
  </w:style>
  <w:style w:type="character" w:customStyle="1" w:styleId="HeaderChar">
    <w:name w:val="Header Char"/>
    <w:basedOn w:val="DefaultParagraphFont"/>
    <w:link w:val="Header"/>
    <w:uiPriority w:val="99"/>
    <w:rsid w:val="00FC42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4258"/>
    <w:pPr>
      <w:tabs>
        <w:tab w:val="center" w:pos="4680"/>
        <w:tab w:val="right" w:pos="9360"/>
      </w:tabs>
    </w:pPr>
  </w:style>
  <w:style w:type="character" w:customStyle="1" w:styleId="FooterChar">
    <w:name w:val="Footer Char"/>
    <w:basedOn w:val="DefaultParagraphFont"/>
    <w:link w:val="Footer"/>
    <w:uiPriority w:val="99"/>
    <w:rsid w:val="00FC4258"/>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90711"/>
    <w:rPr>
      <w:color w:val="808080"/>
      <w:shd w:val="clear" w:color="auto" w:fill="E6E6E6"/>
    </w:rPr>
  </w:style>
  <w:style w:type="paragraph" w:styleId="BalloonText">
    <w:name w:val="Balloon Text"/>
    <w:basedOn w:val="Normal"/>
    <w:link w:val="BalloonTextChar"/>
    <w:uiPriority w:val="99"/>
    <w:semiHidden/>
    <w:unhideWhenUsed/>
    <w:rsid w:val="00896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A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D78E9-E9BF-4E29-8055-967DBF54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2163</Words>
  <Characters>12334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MASS</Company>
  <LinksUpToDate>false</LinksUpToDate>
  <CharactersWithSpaces>14469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Tom Scott</cp:lastModifiedBy>
  <cp:revision>2</cp:revision>
  <cp:lastPrinted>2018-03-27T17:43:00Z</cp:lastPrinted>
  <dcterms:created xsi:type="dcterms:W3CDTF">2018-03-28T19:59:00Z</dcterms:created>
  <dcterms:modified xsi:type="dcterms:W3CDTF">2018-03-28T19:59:00Z</dcterms:modified>
</cp:coreProperties>
</file>